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984628">
      <w:pPr>
        <w:spacing w:after="0" w:line="360" w:lineRule="auto"/>
        <w:ind w:firstLine="420" w:firstLineChars="200"/>
        <w:jc w:val="both"/>
        <w:rPr>
          <w:rFonts w:hint="eastAsia" w:ascii="宋体" w:hAnsi="宋体" w:eastAsia="宋体" w:cs="宋体"/>
          <w:color w:val="FF0000"/>
          <w:kern w:val="2"/>
          <w:sz w:val="21"/>
          <w:szCs w:val="21"/>
          <w:highlight w:val="none"/>
          <w:lang w:eastAsia="zh-CN"/>
        </w:rPr>
      </w:pPr>
      <w:r>
        <w:rPr>
          <w:rFonts w:hint="eastAsia" w:ascii="宋体" w:hAnsi="宋体" w:eastAsia="宋体" w:cs="宋体"/>
          <w:color w:val="FF0000"/>
          <w:kern w:val="2"/>
          <w:sz w:val="21"/>
          <w:szCs w:val="21"/>
          <w:highlight w:val="none"/>
          <w:lang w:eastAsia="zh-CN"/>
        </w:rPr>
        <w:t>一、基本要求</w:t>
      </w:r>
    </w:p>
    <w:p w14:paraId="10912DE5">
      <w:pPr>
        <w:spacing w:after="0" w:line="360" w:lineRule="auto"/>
        <w:ind w:firstLine="420" w:firstLineChars="200"/>
        <w:jc w:val="both"/>
        <w:rPr>
          <w:rFonts w:hint="eastAsia" w:ascii="宋体" w:hAnsi="宋体" w:eastAsia="宋体" w:cs="宋体"/>
          <w:color w:val="FF0000"/>
          <w:kern w:val="2"/>
          <w:sz w:val="21"/>
          <w:szCs w:val="21"/>
          <w:highlight w:val="none"/>
          <w:lang w:eastAsia="zh-CN"/>
        </w:rPr>
      </w:pPr>
      <w:r>
        <w:rPr>
          <w:rFonts w:hint="eastAsia" w:ascii="宋体" w:hAnsi="宋体" w:eastAsia="宋体" w:cs="宋体"/>
          <w:color w:val="FF0000"/>
          <w:kern w:val="2"/>
          <w:sz w:val="21"/>
          <w:szCs w:val="21"/>
          <w:highlight w:val="none"/>
          <w:lang w:eastAsia="zh-CN"/>
        </w:rPr>
        <w:t>供应商务必仔细阅读采购方在技术文件中规定的所有细则，投标时应无条件地承诺和执行下列条款：</w:t>
      </w:r>
    </w:p>
    <w:p w14:paraId="1EE8FE77">
      <w:pPr>
        <w:spacing w:after="0" w:line="360" w:lineRule="auto"/>
        <w:ind w:firstLine="420" w:firstLineChars="200"/>
        <w:jc w:val="both"/>
        <w:rPr>
          <w:rFonts w:hint="eastAsia" w:ascii="宋体" w:hAnsi="宋体" w:eastAsia="宋体" w:cs="宋体"/>
          <w:color w:val="FF0000"/>
          <w:kern w:val="2"/>
          <w:sz w:val="21"/>
          <w:szCs w:val="21"/>
          <w:highlight w:val="none"/>
          <w:lang w:eastAsia="zh-CN"/>
        </w:rPr>
      </w:pPr>
      <w:r>
        <w:rPr>
          <w:rFonts w:hint="eastAsia" w:ascii="宋体" w:hAnsi="宋体" w:eastAsia="宋体" w:cs="宋体"/>
          <w:color w:val="FF0000"/>
          <w:kern w:val="2"/>
          <w:sz w:val="21"/>
          <w:szCs w:val="21"/>
          <w:highlight w:val="none"/>
          <w:lang w:eastAsia="zh-CN"/>
        </w:rPr>
        <w:t>1、投标要求</w:t>
      </w:r>
    </w:p>
    <w:p w14:paraId="629084DC">
      <w:pPr>
        <w:spacing w:after="0" w:line="360" w:lineRule="auto"/>
        <w:ind w:firstLine="420" w:firstLineChars="200"/>
        <w:jc w:val="both"/>
        <w:rPr>
          <w:rFonts w:hint="eastAsia" w:ascii="宋体" w:hAnsi="宋体" w:eastAsia="宋体" w:cs="宋体"/>
          <w:color w:val="FF0000"/>
          <w:kern w:val="2"/>
          <w:sz w:val="21"/>
          <w:szCs w:val="21"/>
          <w:highlight w:val="none"/>
          <w:lang w:eastAsia="zh-CN"/>
        </w:rPr>
      </w:pPr>
      <w:r>
        <w:rPr>
          <w:rFonts w:hint="eastAsia" w:ascii="宋体" w:hAnsi="宋体" w:eastAsia="宋体" w:cs="宋体"/>
          <w:color w:val="FF0000"/>
          <w:kern w:val="2"/>
          <w:sz w:val="21"/>
          <w:szCs w:val="21"/>
          <w:highlight w:val="none"/>
          <w:lang w:eastAsia="zh-CN"/>
        </w:rPr>
        <w:t>1.1供应商所提供的产品技术规格应符合磋商文件的要求。如所供产品存在技术和商务偏离,投标者应如实填写技术规格及商务条款偏差表。若采购方掌握了确切事实说明某投标者没有如实填写技术规格及商务条款偏差表或有欺诈行为,该投标书将被拒绝。投标者的不良行为将被记录，并在以后政府采购招标活动中受到相应约束。</w:t>
      </w:r>
    </w:p>
    <w:p w14:paraId="6D7E7F4E">
      <w:pPr>
        <w:spacing w:after="0" w:line="360" w:lineRule="auto"/>
        <w:ind w:firstLine="420" w:firstLineChars="200"/>
        <w:jc w:val="both"/>
        <w:rPr>
          <w:rFonts w:hint="eastAsia" w:ascii="宋体" w:hAnsi="宋体" w:eastAsia="宋体" w:cs="宋体"/>
          <w:color w:val="FF0000"/>
          <w:kern w:val="2"/>
          <w:sz w:val="21"/>
          <w:szCs w:val="21"/>
          <w:highlight w:val="none"/>
          <w:lang w:eastAsia="zh-CN"/>
        </w:rPr>
      </w:pPr>
      <w:r>
        <w:rPr>
          <w:rFonts w:hint="eastAsia" w:ascii="宋体" w:hAnsi="宋体" w:eastAsia="宋体" w:cs="宋体"/>
          <w:color w:val="FF0000"/>
          <w:kern w:val="2"/>
          <w:sz w:val="21"/>
          <w:szCs w:val="21"/>
          <w:highlight w:val="none"/>
          <w:lang w:eastAsia="zh-CN"/>
        </w:rPr>
        <w:t>1.2投标报价超出磋商文件载明的采购限价的投标将被视为无效投标。</w:t>
      </w:r>
    </w:p>
    <w:p w14:paraId="503E9DCE">
      <w:pPr>
        <w:spacing w:after="0" w:line="360" w:lineRule="auto"/>
        <w:ind w:firstLine="420" w:firstLineChars="200"/>
        <w:jc w:val="both"/>
        <w:rPr>
          <w:rFonts w:hint="eastAsia" w:ascii="宋体" w:hAnsi="宋体" w:eastAsia="宋体" w:cs="宋体"/>
          <w:color w:val="FF0000"/>
          <w:kern w:val="2"/>
          <w:sz w:val="21"/>
          <w:szCs w:val="21"/>
          <w:highlight w:val="none"/>
          <w:lang w:eastAsia="zh-CN"/>
        </w:rPr>
      </w:pPr>
      <w:r>
        <w:rPr>
          <w:rFonts w:hint="eastAsia" w:ascii="宋体" w:hAnsi="宋体" w:eastAsia="宋体" w:cs="宋体"/>
          <w:color w:val="FF0000"/>
          <w:kern w:val="2"/>
          <w:sz w:val="21"/>
          <w:szCs w:val="21"/>
          <w:highlight w:val="none"/>
          <w:lang w:eastAsia="zh-CN"/>
        </w:rPr>
        <w:t>2、履约要求</w:t>
      </w:r>
    </w:p>
    <w:p w14:paraId="5AF8A11A">
      <w:pPr>
        <w:spacing w:after="0" w:line="360" w:lineRule="auto"/>
        <w:ind w:firstLine="420" w:firstLineChars="200"/>
        <w:jc w:val="both"/>
        <w:rPr>
          <w:rFonts w:hint="eastAsia" w:ascii="宋体" w:hAnsi="宋体" w:eastAsia="宋体" w:cs="宋体"/>
          <w:color w:val="FF0000"/>
          <w:kern w:val="2"/>
          <w:sz w:val="21"/>
          <w:szCs w:val="21"/>
          <w:highlight w:val="none"/>
          <w:lang w:eastAsia="zh-CN"/>
        </w:rPr>
      </w:pPr>
      <w:r>
        <w:rPr>
          <w:rFonts w:hint="eastAsia" w:ascii="宋体" w:hAnsi="宋体" w:eastAsia="宋体" w:cs="宋体"/>
          <w:color w:val="FF0000"/>
          <w:kern w:val="2"/>
          <w:sz w:val="21"/>
          <w:szCs w:val="21"/>
          <w:highlight w:val="none"/>
          <w:lang w:eastAsia="zh-CN"/>
        </w:rPr>
        <w:t>2.1 在质量保证期内,凡因正常使用出现的质量问题，供货商应提供免费维修或更换。在厂家(供货商维修服务中心)维修时,供货商应支付设备或组件的包装和运费。并从修复或更换后重新计算质保期。</w:t>
      </w:r>
    </w:p>
    <w:p w14:paraId="175F94D2">
      <w:pPr>
        <w:spacing w:after="0" w:line="360" w:lineRule="auto"/>
        <w:ind w:firstLine="420" w:firstLineChars="200"/>
        <w:jc w:val="both"/>
        <w:rPr>
          <w:rFonts w:hint="eastAsia" w:ascii="宋体" w:hAnsi="宋体" w:eastAsia="宋体" w:cs="宋体"/>
          <w:color w:val="FF0000"/>
          <w:kern w:val="2"/>
          <w:sz w:val="21"/>
          <w:szCs w:val="21"/>
          <w:highlight w:val="none"/>
          <w:lang w:eastAsia="zh-CN"/>
        </w:rPr>
      </w:pPr>
      <w:r>
        <w:rPr>
          <w:rFonts w:hint="eastAsia" w:ascii="宋体" w:hAnsi="宋体" w:eastAsia="宋体" w:cs="宋体"/>
          <w:color w:val="FF0000"/>
          <w:kern w:val="2"/>
          <w:sz w:val="21"/>
          <w:szCs w:val="21"/>
          <w:highlight w:val="none"/>
          <w:lang w:eastAsia="zh-CN"/>
        </w:rPr>
        <w:t>2.2 供应商所提供的维修点若不能提供必要的服务或未能按响应时间进行维修，将视为投标者违约。</w:t>
      </w:r>
    </w:p>
    <w:p w14:paraId="75A06129">
      <w:pPr>
        <w:spacing w:after="0" w:line="360" w:lineRule="auto"/>
        <w:ind w:firstLine="420" w:firstLineChars="200"/>
        <w:jc w:val="both"/>
        <w:rPr>
          <w:rFonts w:hint="eastAsia" w:ascii="宋体" w:hAnsi="宋体" w:eastAsia="宋体" w:cs="宋体"/>
          <w:color w:val="FF0000"/>
          <w:kern w:val="2"/>
          <w:sz w:val="21"/>
          <w:szCs w:val="21"/>
          <w:highlight w:val="none"/>
          <w:lang w:eastAsia="zh-CN"/>
        </w:rPr>
      </w:pPr>
      <w:r>
        <w:rPr>
          <w:rFonts w:hint="eastAsia" w:ascii="宋体" w:hAnsi="宋体" w:eastAsia="宋体" w:cs="宋体"/>
          <w:color w:val="FF0000"/>
          <w:kern w:val="2"/>
          <w:sz w:val="21"/>
          <w:szCs w:val="21"/>
          <w:highlight w:val="none"/>
          <w:lang w:eastAsia="zh-CN"/>
        </w:rPr>
        <w:t>2.3 供应商所提供的产品必须为签订合同前3个月内或合同签订后所生产，否则将被视为违约。</w:t>
      </w:r>
    </w:p>
    <w:p w14:paraId="6AB0A630">
      <w:pPr>
        <w:spacing w:after="0" w:line="360" w:lineRule="auto"/>
        <w:ind w:firstLine="420" w:firstLineChars="200"/>
        <w:jc w:val="both"/>
        <w:rPr>
          <w:rFonts w:hint="eastAsia" w:ascii="宋体" w:hAnsi="宋体" w:eastAsia="宋体" w:cs="宋体"/>
          <w:color w:val="FF0000"/>
          <w:kern w:val="2"/>
          <w:sz w:val="21"/>
          <w:szCs w:val="21"/>
          <w:highlight w:val="none"/>
          <w:lang w:eastAsia="zh-CN"/>
        </w:rPr>
      </w:pPr>
      <w:r>
        <w:rPr>
          <w:rFonts w:hint="eastAsia" w:ascii="宋体" w:hAnsi="宋体" w:eastAsia="宋体" w:cs="宋体"/>
          <w:color w:val="FF0000"/>
          <w:kern w:val="2"/>
          <w:sz w:val="21"/>
          <w:szCs w:val="21"/>
          <w:highlight w:val="none"/>
          <w:lang w:eastAsia="zh-CN"/>
        </w:rPr>
        <w:t>2.4供应商中标后严禁贴牌，贴牌重罚。</w:t>
      </w:r>
    </w:p>
    <w:p w14:paraId="738D65F2">
      <w:pPr>
        <w:spacing w:after="0" w:line="360" w:lineRule="auto"/>
        <w:ind w:firstLine="420" w:firstLineChars="200"/>
        <w:jc w:val="both"/>
        <w:rPr>
          <w:rFonts w:hint="eastAsia" w:ascii="宋体" w:hAnsi="宋体" w:eastAsia="宋体" w:cs="宋体"/>
          <w:color w:val="FF0000"/>
          <w:kern w:val="2"/>
          <w:sz w:val="21"/>
          <w:szCs w:val="21"/>
          <w:highlight w:val="none"/>
          <w:lang w:eastAsia="zh-CN"/>
        </w:rPr>
      </w:pPr>
      <w:r>
        <w:rPr>
          <w:rFonts w:hint="eastAsia" w:ascii="宋体" w:hAnsi="宋体" w:eastAsia="宋体" w:cs="宋体"/>
          <w:color w:val="FF0000"/>
          <w:kern w:val="2"/>
          <w:sz w:val="21"/>
          <w:szCs w:val="21"/>
          <w:highlight w:val="none"/>
          <w:lang w:eastAsia="zh-CN"/>
        </w:rPr>
        <w:t>2.5供应商中标后，出现未在磋商文件规定的交货完工时间内交货完工的，三年内不得参加采购人组织的类似项目的招标活动。并按照每超出3天扣除总合同金额的1% 进行计算。</w:t>
      </w:r>
    </w:p>
    <w:p w14:paraId="2C3FE804">
      <w:pPr>
        <w:spacing w:after="0" w:line="360" w:lineRule="auto"/>
        <w:ind w:firstLine="420" w:firstLineChars="200"/>
        <w:jc w:val="both"/>
        <w:rPr>
          <w:rFonts w:hint="eastAsia" w:ascii="宋体" w:hAnsi="宋体" w:eastAsia="宋体" w:cs="宋体"/>
          <w:color w:val="FF0000"/>
          <w:kern w:val="2"/>
          <w:sz w:val="21"/>
          <w:szCs w:val="21"/>
          <w:highlight w:val="none"/>
          <w:lang w:eastAsia="zh-CN"/>
        </w:rPr>
      </w:pPr>
      <w:r>
        <w:rPr>
          <w:rFonts w:hint="eastAsia" w:ascii="宋体" w:hAnsi="宋体" w:eastAsia="宋体" w:cs="宋体"/>
          <w:color w:val="FF0000"/>
          <w:kern w:val="2"/>
          <w:sz w:val="21"/>
          <w:szCs w:val="21"/>
          <w:highlight w:val="none"/>
          <w:lang w:eastAsia="zh-CN"/>
        </w:rPr>
        <w:t>3、检验、验收要求</w:t>
      </w:r>
    </w:p>
    <w:p w14:paraId="111C0370">
      <w:pPr>
        <w:spacing w:after="0" w:line="360" w:lineRule="auto"/>
        <w:ind w:firstLine="420" w:firstLineChars="200"/>
        <w:jc w:val="both"/>
        <w:rPr>
          <w:rFonts w:hint="eastAsia" w:ascii="宋体" w:hAnsi="宋体" w:eastAsia="宋体" w:cs="宋体"/>
          <w:color w:val="FF0000"/>
          <w:kern w:val="2"/>
          <w:sz w:val="21"/>
          <w:szCs w:val="21"/>
          <w:highlight w:val="none"/>
          <w:lang w:eastAsia="zh-CN"/>
        </w:rPr>
      </w:pPr>
      <w:r>
        <w:rPr>
          <w:rFonts w:hint="eastAsia" w:ascii="宋体" w:hAnsi="宋体" w:eastAsia="宋体" w:cs="宋体"/>
          <w:color w:val="FF0000"/>
          <w:kern w:val="2"/>
          <w:sz w:val="21"/>
          <w:szCs w:val="21"/>
          <w:highlight w:val="none"/>
          <w:lang w:eastAsia="zh-CN"/>
        </w:rPr>
        <w:t>货物到使用方，由市督导组根据合同、样品、磋商文件和投标文件进行检验、验收：</w:t>
      </w:r>
    </w:p>
    <w:p w14:paraId="5FA155FC">
      <w:pPr>
        <w:spacing w:after="0" w:line="360" w:lineRule="auto"/>
        <w:ind w:firstLine="420" w:firstLineChars="200"/>
        <w:jc w:val="both"/>
        <w:rPr>
          <w:rFonts w:hint="eastAsia" w:ascii="宋体" w:hAnsi="宋体" w:eastAsia="宋体" w:cs="宋体"/>
          <w:color w:val="FF0000"/>
          <w:kern w:val="2"/>
          <w:sz w:val="21"/>
          <w:szCs w:val="21"/>
          <w:highlight w:val="none"/>
          <w:lang w:eastAsia="zh-CN"/>
        </w:rPr>
      </w:pPr>
      <w:r>
        <w:rPr>
          <w:rFonts w:hint="eastAsia" w:ascii="宋体" w:hAnsi="宋体" w:eastAsia="宋体" w:cs="宋体"/>
          <w:color w:val="FF0000"/>
          <w:kern w:val="2"/>
          <w:sz w:val="21"/>
          <w:szCs w:val="21"/>
          <w:highlight w:val="none"/>
          <w:lang w:eastAsia="zh-CN"/>
        </w:rPr>
        <w:t>3.1采购人对中标人交付的待安装器材随机抽取10%由市全民健身工程建设督导领导小组现场检验，检验合格后方可安装。对于检验不合格的（质量低于样品标准及采购文件要求的），采购人可拒绝接收其提供的器材，并按照相关规定进行处罚，三年内不得参加采购人组织的类似项目的招标活动。</w:t>
      </w:r>
    </w:p>
    <w:p w14:paraId="5D3C8110">
      <w:pPr>
        <w:spacing w:after="0" w:line="360" w:lineRule="auto"/>
        <w:ind w:firstLine="420" w:firstLineChars="200"/>
        <w:jc w:val="both"/>
        <w:rPr>
          <w:rFonts w:hint="eastAsia" w:ascii="宋体" w:hAnsi="宋体" w:eastAsia="宋体" w:cs="宋体"/>
          <w:color w:val="FF0000"/>
          <w:kern w:val="2"/>
          <w:sz w:val="21"/>
          <w:szCs w:val="21"/>
          <w:highlight w:val="none"/>
          <w:lang w:eastAsia="zh-CN"/>
        </w:rPr>
      </w:pPr>
      <w:r>
        <w:rPr>
          <w:rFonts w:hint="eastAsia" w:ascii="宋体" w:hAnsi="宋体" w:eastAsia="宋体" w:cs="宋体"/>
          <w:color w:val="FF0000"/>
          <w:kern w:val="2"/>
          <w:sz w:val="21"/>
          <w:szCs w:val="21"/>
          <w:highlight w:val="none"/>
          <w:lang w:eastAsia="zh-CN"/>
        </w:rPr>
        <w:t>3.2检验合格后，由中标单位组织人员进行安装施工，安装完毕后由县（市）、区文旅体局、乡镇（办）、社区（行政村）等组织检查验收，采购人进行抽查。验收不合格，由中标方承担相关责任。若工程由使用方安装施工，按工程价格6-8%扣除建设费用。验收合格后签署工程验收单。采购方根据验收合格单支付货款。</w:t>
      </w:r>
    </w:p>
    <w:p w14:paraId="0757E908">
      <w:pPr>
        <w:spacing w:after="0" w:line="360" w:lineRule="auto"/>
        <w:ind w:firstLine="420" w:firstLineChars="200"/>
        <w:jc w:val="both"/>
        <w:rPr>
          <w:rFonts w:hint="eastAsia" w:ascii="宋体" w:hAnsi="宋体" w:eastAsia="宋体" w:cs="宋体"/>
          <w:color w:val="FF0000"/>
          <w:kern w:val="2"/>
          <w:sz w:val="21"/>
          <w:szCs w:val="21"/>
          <w:highlight w:val="none"/>
          <w:lang w:eastAsia="zh-CN"/>
        </w:rPr>
      </w:pPr>
      <w:r>
        <w:rPr>
          <w:rFonts w:hint="eastAsia" w:ascii="宋体" w:hAnsi="宋体" w:eastAsia="宋体" w:cs="宋体"/>
          <w:color w:val="FF0000"/>
          <w:kern w:val="2"/>
          <w:sz w:val="21"/>
          <w:szCs w:val="21"/>
          <w:highlight w:val="none"/>
          <w:lang w:eastAsia="zh-CN"/>
        </w:rPr>
        <w:t>3.3</w:t>
      </w:r>
      <w:r>
        <w:rPr>
          <w:rFonts w:hint="eastAsia" w:ascii="宋体" w:hAnsi="宋体" w:eastAsia="宋体" w:cs="宋体"/>
          <w:color w:val="FF0000"/>
          <w:kern w:val="2"/>
          <w:sz w:val="21"/>
          <w:szCs w:val="21"/>
          <w:highlight w:val="none"/>
          <w:lang w:val="en-US" w:eastAsia="zh-CN"/>
        </w:rPr>
        <w:t>成交</w:t>
      </w:r>
      <w:r>
        <w:rPr>
          <w:rFonts w:hint="eastAsia" w:ascii="宋体" w:hAnsi="宋体" w:eastAsia="宋体" w:cs="宋体"/>
          <w:color w:val="FF0000"/>
          <w:kern w:val="2"/>
          <w:sz w:val="21"/>
          <w:szCs w:val="21"/>
          <w:highlight w:val="none"/>
          <w:lang w:eastAsia="zh-CN"/>
        </w:rPr>
        <w:t>人在质量保证期内，配合市全民健身工程建设督导领导小组，每年不少两次巡回检查。</w:t>
      </w:r>
    </w:p>
    <w:p w14:paraId="6A507DA1">
      <w:pPr>
        <w:spacing w:after="0" w:line="360" w:lineRule="auto"/>
        <w:ind w:firstLine="420" w:firstLineChars="200"/>
        <w:jc w:val="both"/>
        <w:rPr>
          <w:rFonts w:hint="eastAsia" w:ascii="宋体" w:hAnsi="宋体" w:eastAsia="宋体" w:cs="宋体"/>
          <w:color w:val="FF0000"/>
          <w:kern w:val="2"/>
          <w:sz w:val="21"/>
          <w:szCs w:val="21"/>
          <w:highlight w:val="none"/>
          <w:lang w:eastAsia="zh-CN"/>
        </w:rPr>
      </w:pPr>
      <w:r>
        <w:rPr>
          <w:rFonts w:hint="eastAsia" w:ascii="宋体" w:hAnsi="宋体" w:eastAsia="宋体" w:cs="宋体"/>
          <w:color w:val="FF0000"/>
          <w:kern w:val="2"/>
          <w:sz w:val="21"/>
          <w:szCs w:val="21"/>
          <w:highlight w:val="none"/>
          <w:lang w:eastAsia="zh-CN"/>
        </w:rPr>
        <w:t>二、器材通用要求</w:t>
      </w:r>
    </w:p>
    <w:p w14:paraId="6AB3327A">
      <w:pPr>
        <w:spacing w:after="0" w:line="360" w:lineRule="auto"/>
        <w:ind w:firstLine="420" w:firstLineChars="200"/>
        <w:jc w:val="both"/>
        <w:rPr>
          <w:rFonts w:hint="eastAsia" w:ascii="宋体" w:hAnsi="宋体" w:eastAsia="宋体" w:cs="宋体"/>
          <w:color w:val="FF0000"/>
          <w:kern w:val="2"/>
          <w:sz w:val="21"/>
          <w:szCs w:val="21"/>
          <w:highlight w:val="none"/>
          <w:lang w:eastAsia="zh-CN"/>
        </w:rPr>
      </w:pPr>
      <w:r>
        <w:rPr>
          <w:rFonts w:hint="eastAsia" w:ascii="宋体" w:hAnsi="宋体" w:eastAsia="宋体" w:cs="宋体"/>
          <w:color w:val="FF0000"/>
          <w:kern w:val="2"/>
          <w:sz w:val="21"/>
          <w:szCs w:val="21"/>
          <w:highlight w:val="none"/>
          <w:lang w:eastAsia="zh-CN"/>
        </w:rPr>
        <w:t>1.器材涂层、橡胶、塑料件有害物质限量应符合GB 19272-2011中5.2.6的要求；并提供有效证明文件（具有资质检验机构</w:t>
      </w:r>
      <w:r>
        <w:rPr>
          <w:rFonts w:hint="eastAsia" w:ascii="宋体" w:hAnsi="宋体" w:eastAsia="宋体" w:cs="宋体"/>
          <w:color w:val="FF0000"/>
          <w:kern w:val="2"/>
          <w:sz w:val="21"/>
          <w:szCs w:val="21"/>
          <w:highlight w:val="none"/>
          <w:lang w:val="en-US" w:eastAsia="zh-CN"/>
        </w:rPr>
        <w:t>出具</w:t>
      </w:r>
      <w:r>
        <w:rPr>
          <w:rFonts w:hint="eastAsia" w:ascii="宋体" w:hAnsi="宋体" w:eastAsia="宋体" w:cs="宋体"/>
          <w:color w:val="FF0000"/>
          <w:kern w:val="2"/>
          <w:sz w:val="21"/>
          <w:szCs w:val="21"/>
          <w:highlight w:val="none"/>
          <w:lang w:eastAsia="zh-CN"/>
        </w:rPr>
        <w:t>的检验报告）；</w:t>
      </w:r>
    </w:p>
    <w:p w14:paraId="670E7244">
      <w:pPr>
        <w:spacing w:after="0" w:line="360" w:lineRule="auto"/>
        <w:ind w:firstLine="420" w:firstLineChars="200"/>
        <w:jc w:val="both"/>
        <w:rPr>
          <w:rFonts w:hint="eastAsia" w:ascii="宋体" w:hAnsi="宋体" w:eastAsia="宋体" w:cs="宋体"/>
          <w:color w:val="FF0000"/>
          <w:kern w:val="2"/>
          <w:sz w:val="21"/>
          <w:szCs w:val="21"/>
          <w:highlight w:val="none"/>
          <w:lang w:eastAsia="zh-CN"/>
        </w:rPr>
      </w:pPr>
      <w:r>
        <w:rPr>
          <w:rFonts w:hint="eastAsia" w:ascii="宋体" w:hAnsi="宋体" w:eastAsia="宋体" w:cs="宋体"/>
          <w:color w:val="FF0000"/>
          <w:kern w:val="2"/>
          <w:sz w:val="21"/>
          <w:szCs w:val="21"/>
          <w:highlight w:val="none"/>
          <w:lang w:eastAsia="zh-CN"/>
        </w:rPr>
        <w:t>2.螺钉、螺母应防锈、防松和防盗；并应采取措施对螺栓、螺纹永久覆盖。覆盖件在其安装面以上直角部分的高度不应超过3mm；突出部分外角应不小于105°或不应有易钩挂形状；</w:t>
      </w:r>
    </w:p>
    <w:p w14:paraId="2AD32B8F">
      <w:pPr>
        <w:spacing w:after="0" w:line="360" w:lineRule="auto"/>
        <w:ind w:firstLine="420" w:firstLineChars="200"/>
        <w:jc w:val="both"/>
        <w:rPr>
          <w:rFonts w:hint="eastAsia" w:ascii="宋体" w:hAnsi="宋体" w:eastAsia="宋体" w:cs="宋体"/>
          <w:color w:val="FF0000"/>
          <w:kern w:val="2"/>
          <w:sz w:val="21"/>
          <w:szCs w:val="21"/>
          <w:highlight w:val="none"/>
          <w:lang w:eastAsia="zh-CN"/>
        </w:rPr>
      </w:pPr>
      <w:r>
        <w:rPr>
          <w:rFonts w:hint="eastAsia" w:ascii="宋体" w:hAnsi="宋体" w:eastAsia="宋体" w:cs="宋体"/>
          <w:color w:val="FF0000"/>
          <w:kern w:val="2"/>
          <w:sz w:val="21"/>
          <w:szCs w:val="21"/>
          <w:highlight w:val="none"/>
          <w:lang w:eastAsia="zh-CN"/>
        </w:rPr>
        <w:t>3.器材各支撑人体的表面所有棱边和尖角，应使其半径不小于3mm；使用者或第三者易接触的零部件的其他所有棱边应予以圆滑过渡或加以防护；</w:t>
      </w:r>
    </w:p>
    <w:p w14:paraId="69F8B363">
      <w:pPr>
        <w:spacing w:after="0" w:line="360" w:lineRule="auto"/>
        <w:ind w:firstLine="420" w:firstLineChars="200"/>
        <w:jc w:val="both"/>
        <w:rPr>
          <w:rFonts w:hint="eastAsia" w:ascii="宋体" w:hAnsi="宋体" w:eastAsia="宋体" w:cs="宋体"/>
          <w:color w:val="FF0000"/>
          <w:kern w:val="2"/>
          <w:sz w:val="21"/>
          <w:szCs w:val="21"/>
          <w:highlight w:val="none"/>
          <w:lang w:eastAsia="zh-CN"/>
        </w:rPr>
      </w:pPr>
      <w:r>
        <w:rPr>
          <w:rFonts w:hint="eastAsia" w:ascii="宋体" w:hAnsi="宋体" w:eastAsia="宋体" w:cs="宋体"/>
          <w:color w:val="FF0000"/>
          <w:kern w:val="2"/>
          <w:sz w:val="21"/>
          <w:szCs w:val="21"/>
          <w:highlight w:val="none"/>
          <w:lang w:eastAsia="zh-CN"/>
        </w:rPr>
        <w:t>4.不允许存在和使用功能无关的凸出物；</w:t>
      </w:r>
    </w:p>
    <w:p w14:paraId="6B21F32B">
      <w:pPr>
        <w:spacing w:after="0" w:line="360" w:lineRule="auto"/>
        <w:ind w:firstLine="420" w:firstLineChars="200"/>
        <w:jc w:val="both"/>
        <w:rPr>
          <w:rFonts w:hint="eastAsia" w:ascii="宋体" w:hAnsi="宋体" w:eastAsia="宋体" w:cs="宋体"/>
          <w:color w:val="FF0000"/>
          <w:kern w:val="2"/>
          <w:sz w:val="21"/>
          <w:szCs w:val="21"/>
          <w:highlight w:val="none"/>
          <w:lang w:eastAsia="zh-CN"/>
        </w:rPr>
      </w:pPr>
      <w:r>
        <w:rPr>
          <w:rFonts w:hint="eastAsia" w:ascii="宋体" w:hAnsi="宋体" w:eastAsia="宋体" w:cs="宋体"/>
          <w:color w:val="FF0000"/>
          <w:kern w:val="2"/>
          <w:sz w:val="21"/>
          <w:szCs w:val="21"/>
          <w:highlight w:val="none"/>
          <w:lang w:eastAsia="zh-CN"/>
        </w:rPr>
        <w:t>5.闭合开口、不完全闭合开口符合GB 19272-2011中5.3.2的要求；</w:t>
      </w:r>
    </w:p>
    <w:p w14:paraId="0E76F611">
      <w:pPr>
        <w:spacing w:after="0" w:line="360" w:lineRule="auto"/>
        <w:ind w:firstLine="420" w:firstLineChars="200"/>
        <w:jc w:val="both"/>
        <w:rPr>
          <w:rFonts w:hint="eastAsia" w:ascii="宋体" w:hAnsi="宋体" w:eastAsia="宋体" w:cs="宋体"/>
          <w:color w:val="FF0000"/>
          <w:kern w:val="2"/>
          <w:sz w:val="21"/>
          <w:szCs w:val="21"/>
          <w:highlight w:val="none"/>
          <w:lang w:eastAsia="zh-CN"/>
        </w:rPr>
      </w:pPr>
      <w:r>
        <w:rPr>
          <w:rFonts w:hint="eastAsia" w:ascii="宋体" w:hAnsi="宋体" w:eastAsia="宋体" w:cs="宋体"/>
          <w:color w:val="FF0000"/>
          <w:kern w:val="2"/>
          <w:sz w:val="21"/>
          <w:szCs w:val="21"/>
          <w:highlight w:val="none"/>
          <w:lang w:eastAsia="zh-CN"/>
        </w:rPr>
        <w:t>6.器材承载主立柱的钢管直径应不小于110mm，框架式和高度不大于1500mm的器材可适当减小钢管直径，钢管壁厚应不小于2.75mm；</w:t>
      </w:r>
    </w:p>
    <w:p w14:paraId="033BDF47">
      <w:pPr>
        <w:spacing w:after="0" w:line="360" w:lineRule="auto"/>
        <w:ind w:firstLine="420" w:firstLineChars="200"/>
        <w:jc w:val="both"/>
        <w:rPr>
          <w:rFonts w:hint="eastAsia" w:ascii="宋体" w:hAnsi="宋体" w:eastAsia="宋体" w:cs="宋体"/>
          <w:color w:val="FF0000"/>
          <w:kern w:val="2"/>
          <w:sz w:val="21"/>
          <w:szCs w:val="21"/>
          <w:highlight w:val="none"/>
          <w:lang w:eastAsia="zh-CN"/>
        </w:rPr>
      </w:pPr>
      <w:r>
        <w:rPr>
          <w:rFonts w:hint="eastAsia" w:ascii="宋体" w:hAnsi="宋体" w:eastAsia="宋体" w:cs="宋体"/>
          <w:color w:val="FF0000"/>
          <w:kern w:val="2"/>
          <w:sz w:val="21"/>
          <w:szCs w:val="21"/>
          <w:highlight w:val="none"/>
          <w:lang w:eastAsia="zh-CN"/>
        </w:rPr>
        <w:t>7.扶手直径应不小于16mm且不大于45mm；</w:t>
      </w:r>
    </w:p>
    <w:p w14:paraId="118A5687">
      <w:pPr>
        <w:spacing w:after="0" w:line="360" w:lineRule="auto"/>
        <w:ind w:firstLine="420" w:firstLineChars="200"/>
        <w:jc w:val="both"/>
        <w:rPr>
          <w:rFonts w:hint="eastAsia" w:ascii="宋体" w:hAnsi="宋体" w:eastAsia="宋体" w:cs="宋体"/>
          <w:color w:val="FF0000"/>
          <w:kern w:val="2"/>
          <w:sz w:val="21"/>
          <w:szCs w:val="21"/>
          <w:highlight w:val="none"/>
          <w:lang w:eastAsia="zh-CN"/>
        </w:rPr>
      </w:pPr>
      <w:r>
        <w:rPr>
          <w:rFonts w:hint="eastAsia" w:ascii="宋体" w:hAnsi="宋体" w:eastAsia="宋体" w:cs="宋体"/>
          <w:color w:val="FF0000"/>
          <w:kern w:val="2"/>
          <w:sz w:val="21"/>
          <w:szCs w:val="21"/>
          <w:highlight w:val="none"/>
          <w:lang w:eastAsia="zh-CN"/>
        </w:rPr>
        <w:t>8.把手端部直径不小于50mm；</w:t>
      </w:r>
    </w:p>
    <w:p w14:paraId="6049E1AF">
      <w:pPr>
        <w:spacing w:after="0" w:line="360" w:lineRule="auto"/>
        <w:ind w:firstLine="420" w:firstLineChars="200"/>
        <w:jc w:val="both"/>
        <w:rPr>
          <w:rFonts w:hint="eastAsia" w:ascii="宋体" w:hAnsi="宋体" w:eastAsia="宋体" w:cs="宋体"/>
          <w:color w:val="FF0000"/>
          <w:kern w:val="2"/>
          <w:sz w:val="21"/>
          <w:szCs w:val="21"/>
          <w:highlight w:val="none"/>
          <w:lang w:eastAsia="zh-CN"/>
        </w:rPr>
      </w:pPr>
      <w:r>
        <w:rPr>
          <w:rFonts w:hint="eastAsia" w:ascii="宋体" w:hAnsi="宋体" w:eastAsia="宋体" w:cs="宋体"/>
          <w:color w:val="FF0000"/>
          <w:kern w:val="2"/>
          <w:sz w:val="21"/>
          <w:szCs w:val="21"/>
          <w:highlight w:val="none"/>
          <w:lang w:eastAsia="zh-CN"/>
        </w:rPr>
        <w:t>9.带有轴承的器材，轴承应采取防水、防尘措施，可采取接触式密封，设润滑剂添加装置；</w:t>
      </w:r>
    </w:p>
    <w:p w14:paraId="0A9FFCCE">
      <w:pPr>
        <w:spacing w:after="0" w:line="360" w:lineRule="auto"/>
        <w:ind w:firstLine="420" w:firstLineChars="200"/>
        <w:jc w:val="both"/>
        <w:rPr>
          <w:rFonts w:hint="eastAsia" w:ascii="宋体" w:hAnsi="宋体" w:eastAsia="宋体" w:cs="宋体"/>
          <w:color w:val="FF0000"/>
          <w:kern w:val="2"/>
          <w:sz w:val="21"/>
          <w:szCs w:val="21"/>
          <w:highlight w:val="none"/>
          <w:lang w:eastAsia="zh-CN"/>
        </w:rPr>
      </w:pPr>
      <w:r>
        <w:rPr>
          <w:rFonts w:hint="eastAsia" w:ascii="宋体" w:hAnsi="宋体" w:eastAsia="宋体" w:cs="宋体"/>
          <w:color w:val="FF0000"/>
          <w:kern w:val="2"/>
          <w:sz w:val="21"/>
          <w:szCs w:val="21"/>
          <w:highlight w:val="none"/>
          <w:lang w:eastAsia="zh-CN"/>
        </w:rPr>
        <w:t>10.器材安全使用寿命不低于8年；</w:t>
      </w:r>
    </w:p>
    <w:p w14:paraId="02116381">
      <w:pPr>
        <w:spacing w:after="0" w:line="360" w:lineRule="auto"/>
        <w:ind w:firstLine="420" w:firstLineChars="200"/>
        <w:jc w:val="both"/>
        <w:rPr>
          <w:rFonts w:hint="eastAsia" w:ascii="宋体" w:hAnsi="宋体" w:eastAsia="宋体" w:cs="宋体"/>
          <w:color w:val="FF0000"/>
          <w:kern w:val="2"/>
          <w:sz w:val="21"/>
          <w:szCs w:val="21"/>
          <w:highlight w:val="none"/>
          <w:lang w:eastAsia="zh-CN"/>
        </w:rPr>
      </w:pPr>
      <w:r>
        <w:rPr>
          <w:rFonts w:hint="eastAsia" w:ascii="宋体" w:hAnsi="宋体" w:eastAsia="宋体" w:cs="宋体"/>
          <w:color w:val="FF0000"/>
          <w:kern w:val="2"/>
          <w:sz w:val="21"/>
          <w:szCs w:val="21"/>
          <w:highlight w:val="none"/>
          <w:lang w:eastAsia="zh-CN"/>
        </w:rPr>
        <w:t>11.所有器材均需直埋或预埋安装，器材地埋深度应符合GB 19272-2011的要求；</w:t>
      </w:r>
    </w:p>
    <w:p w14:paraId="11D14E81">
      <w:pPr>
        <w:spacing w:after="0" w:line="360" w:lineRule="auto"/>
        <w:ind w:firstLine="420" w:firstLineChars="200"/>
        <w:jc w:val="both"/>
        <w:rPr>
          <w:rFonts w:hint="eastAsia" w:ascii="宋体" w:hAnsi="宋体" w:eastAsia="宋体" w:cs="宋体"/>
          <w:color w:val="FF0000"/>
          <w:kern w:val="2"/>
          <w:sz w:val="21"/>
          <w:szCs w:val="21"/>
          <w:highlight w:val="none"/>
          <w:lang w:eastAsia="zh-CN"/>
        </w:rPr>
      </w:pPr>
      <w:r>
        <w:rPr>
          <w:rFonts w:hint="eastAsia" w:ascii="宋体" w:hAnsi="宋体" w:eastAsia="宋体" w:cs="宋体"/>
          <w:color w:val="FF0000"/>
          <w:kern w:val="2"/>
          <w:sz w:val="21"/>
          <w:szCs w:val="21"/>
          <w:highlight w:val="none"/>
          <w:lang w:eastAsia="zh-CN"/>
        </w:rPr>
        <w:t>12.钢铁制件（不锈钢除外）表面，应经过酸洗、磷化处理后或经过表面热度锌等防锈处理后，进行表面喷塑处理，涂层厚度不小于70μm；</w:t>
      </w:r>
    </w:p>
    <w:p w14:paraId="1CF53858">
      <w:pPr>
        <w:spacing w:after="0" w:line="360" w:lineRule="auto"/>
        <w:ind w:firstLine="420" w:firstLineChars="200"/>
        <w:jc w:val="both"/>
        <w:rPr>
          <w:rFonts w:hint="eastAsia" w:ascii="宋体" w:hAnsi="宋体" w:eastAsia="宋体" w:cs="宋体"/>
          <w:color w:val="FF0000"/>
          <w:kern w:val="2"/>
          <w:sz w:val="21"/>
          <w:szCs w:val="21"/>
          <w:highlight w:val="none"/>
          <w:lang w:eastAsia="zh-CN"/>
        </w:rPr>
      </w:pPr>
      <w:r>
        <w:rPr>
          <w:rFonts w:hint="eastAsia" w:ascii="宋体" w:hAnsi="宋体" w:eastAsia="宋体" w:cs="宋体"/>
          <w:color w:val="FF0000"/>
          <w:kern w:val="2"/>
          <w:sz w:val="21"/>
          <w:szCs w:val="21"/>
          <w:highlight w:val="none"/>
          <w:lang w:eastAsia="zh-CN"/>
        </w:rPr>
        <w:t>13.摆动式、摇动式、滑行式、攀爬式器材等，具有超过600mm跌落高度的和（或）强制使用者身体运动的器材，在所有的碰撞区域应有着陆缓冲层，缓冲层的面积和厚度应满足GB 19272-2011《室外健身器材的安全通用要求》中5.3.3条款要求；</w:t>
      </w:r>
    </w:p>
    <w:p w14:paraId="229F812D">
      <w:pPr>
        <w:spacing w:after="0" w:line="360" w:lineRule="auto"/>
        <w:ind w:firstLine="420" w:firstLineChars="200"/>
        <w:jc w:val="both"/>
        <w:rPr>
          <w:rFonts w:hint="eastAsia" w:ascii="宋体" w:hAnsi="宋体" w:eastAsia="宋体" w:cs="宋体"/>
          <w:color w:val="FF0000"/>
          <w:kern w:val="2"/>
          <w:sz w:val="21"/>
          <w:szCs w:val="21"/>
          <w:highlight w:val="none"/>
          <w:lang w:eastAsia="zh-CN"/>
        </w:rPr>
      </w:pPr>
      <w:r>
        <w:rPr>
          <w:rFonts w:hint="eastAsia" w:ascii="宋体" w:hAnsi="宋体" w:eastAsia="宋体" w:cs="宋体"/>
          <w:color w:val="FF0000"/>
          <w:kern w:val="2"/>
          <w:sz w:val="21"/>
          <w:szCs w:val="21"/>
          <w:highlight w:val="none"/>
          <w:lang w:eastAsia="zh-CN"/>
        </w:rPr>
        <w:t>14.器材应配有完整的说明书，应包含三图（安装示意图、安装跌落空间图、碰撞区域图）、三表（器材安装检查表、器材定期检查表、易损件明细表）、器材安全使用寿命、器材维护保养注意事项、及寿命周期内对易损件及时更换的承诺等内容；</w:t>
      </w:r>
    </w:p>
    <w:p w14:paraId="685E5482">
      <w:pPr>
        <w:spacing w:after="0" w:line="360" w:lineRule="auto"/>
        <w:ind w:firstLine="420" w:firstLineChars="200"/>
        <w:jc w:val="both"/>
        <w:rPr>
          <w:rFonts w:hint="eastAsia" w:ascii="宋体" w:hAnsi="宋体" w:eastAsia="宋体" w:cs="宋体"/>
          <w:color w:val="FF0000"/>
          <w:kern w:val="2"/>
          <w:sz w:val="21"/>
          <w:szCs w:val="21"/>
          <w:highlight w:val="none"/>
          <w:lang w:eastAsia="zh-CN"/>
        </w:rPr>
      </w:pPr>
      <w:r>
        <w:rPr>
          <w:rFonts w:hint="eastAsia" w:ascii="宋体" w:hAnsi="宋体" w:eastAsia="宋体" w:cs="宋体"/>
          <w:color w:val="FF0000"/>
          <w:kern w:val="2"/>
          <w:sz w:val="21"/>
          <w:szCs w:val="21"/>
          <w:highlight w:val="none"/>
          <w:lang w:eastAsia="zh-CN"/>
        </w:rPr>
        <w:t>1</w:t>
      </w:r>
      <w:r>
        <w:rPr>
          <w:rFonts w:hint="eastAsia" w:ascii="宋体" w:hAnsi="宋体" w:eastAsia="宋体" w:cs="宋体"/>
          <w:color w:val="FF0000"/>
          <w:kern w:val="2"/>
          <w:sz w:val="21"/>
          <w:szCs w:val="21"/>
          <w:highlight w:val="none"/>
          <w:lang w:val="en-US" w:eastAsia="zh-CN"/>
        </w:rPr>
        <w:t>5</w:t>
      </w:r>
      <w:r>
        <w:rPr>
          <w:rFonts w:hint="eastAsia" w:ascii="宋体" w:hAnsi="宋体" w:eastAsia="宋体" w:cs="宋体"/>
          <w:color w:val="FF0000"/>
          <w:kern w:val="2"/>
          <w:sz w:val="21"/>
          <w:szCs w:val="21"/>
          <w:highlight w:val="none"/>
          <w:lang w:eastAsia="zh-CN"/>
        </w:rPr>
        <w:t>.器材安全警示应采用图示方式提示使用者可能存在风险；</w:t>
      </w:r>
    </w:p>
    <w:p w14:paraId="23A3747D">
      <w:pPr>
        <w:spacing w:after="0" w:line="360" w:lineRule="auto"/>
        <w:ind w:firstLine="420" w:firstLineChars="200"/>
        <w:jc w:val="both"/>
        <w:rPr>
          <w:rFonts w:hint="eastAsia" w:ascii="宋体" w:hAnsi="宋体" w:eastAsia="宋体" w:cs="宋体"/>
          <w:color w:val="FF0000"/>
          <w:kern w:val="2"/>
          <w:sz w:val="21"/>
          <w:szCs w:val="21"/>
          <w:highlight w:val="none"/>
          <w:lang w:eastAsia="zh-CN"/>
        </w:rPr>
      </w:pPr>
      <w:r>
        <w:rPr>
          <w:rFonts w:hint="eastAsia" w:ascii="宋体" w:hAnsi="宋体" w:eastAsia="宋体" w:cs="宋体"/>
          <w:color w:val="FF0000"/>
          <w:kern w:val="2"/>
          <w:sz w:val="21"/>
          <w:szCs w:val="21"/>
          <w:highlight w:val="none"/>
          <w:lang w:eastAsia="zh-CN"/>
        </w:rPr>
        <w:t>1</w:t>
      </w:r>
      <w:r>
        <w:rPr>
          <w:rFonts w:hint="eastAsia" w:ascii="宋体" w:hAnsi="宋体" w:eastAsia="宋体" w:cs="宋体"/>
          <w:color w:val="FF0000"/>
          <w:kern w:val="2"/>
          <w:sz w:val="21"/>
          <w:szCs w:val="21"/>
          <w:highlight w:val="none"/>
          <w:lang w:val="en-US" w:eastAsia="zh-CN"/>
        </w:rPr>
        <w:t>6</w:t>
      </w:r>
      <w:r>
        <w:rPr>
          <w:rFonts w:hint="eastAsia" w:ascii="宋体" w:hAnsi="宋体" w:eastAsia="宋体" w:cs="宋体"/>
          <w:color w:val="FF0000"/>
          <w:kern w:val="2"/>
          <w:sz w:val="21"/>
          <w:szCs w:val="21"/>
          <w:highlight w:val="none"/>
          <w:lang w:eastAsia="zh-CN"/>
        </w:rPr>
        <w:t>.器材应符合GB 19272-2011《室外健身器材的安全通用要求》。</w:t>
      </w:r>
    </w:p>
    <w:p w14:paraId="1D318244">
      <w:pPr>
        <w:bidi w:val="0"/>
        <w:rPr>
          <w:rFonts w:hint="eastAsia"/>
        </w:rPr>
      </w:pPr>
      <w:r>
        <w:rPr>
          <w:rFonts w:hint="eastAsia"/>
        </w:rPr>
        <w:br w:type="page"/>
      </w:r>
    </w:p>
    <w:tbl>
      <w:tblPr>
        <w:tblStyle w:val="6"/>
        <w:tblW w:w="7937" w:type="dxa"/>
        <w:tblInd w:w="9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75"/>
        <w:gridCol w:w="3193"/>
        <w:gridCol w:w="1331"/>
        <w:gridCol w:w="1595"/>
        <w:gridCol w:w="1243"/>
      </w:tblGrid>
      <w:tr w14:paraId="2BFEE0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575" w:type="dxa"/>
            <w:tcBorders>
              <w:bottom w:val="single" w:color="000000" w:sz="4" w:space="0"/>
              <w:right w:val="single" w:color="000000" w:sz="4" w:space="0"/>
            </w:tcBorders>
            <w:noWrap/>
            <w:vAlign w:val="center"/>
          </w:tcPr>
          <w:p w14:paraId="23CB44B2">
            <w:pPr>
              <w:spacing w:after="0" w:line="240" w:lineRule="auto"/>
              <w:jc w:val="center"/>
              <w:rPr>
                <w:rFonts w:hint="eastAsia" w:ascii="宋体" w:hAnsi="宋体" w:eastAsia="宋体" w:cs="宋体"/>
                <w:i w:val="0"/>
                <w:iCs w:val="0"/>
                <w:color w:val="000000"/>
                <w:kern w:val="2"/>
                <w:sz w:val="21"/>
                <w:szCs w:val="21"/>
                <w:u w:val="none"/>
                <w:lang w:eastAsia="zh-CN"/>
              </w:rPr>
            </w:pPr>
          </w:p>
        </w:tc>
        <w:tc>
          <w:tcPr>
            <w:tcW w:w="3193" w:type="dxa"/>
            <w:tcBorders>
              <w:left w:val="single" w:color="000000" w:sz="4" w:space="0"/>
              <w:bottom w:val="single" w:color="000000" w:sz="4" w:space="0"/>
              <w:right w:val="single" w:color="000000" w:sz="4" w:space="0"/>
            </w:tcBorders>
            <w:noWrap/>
            <w:vAlign w:val="center"/>
          </w:tcPr>
          <w:p w14:paraId="3E9C82B9">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2"/>
                <w:sz w:val="21"/>
                <w:szCs w:val="21"/>
                <w:u w:val="none"/>
                <w:lang w:eastAsia="zh-CN"/>
              </w:rPr>
            </w:pPr>
            <w:r>
              <w:rPr>
                <w:rFonts w:hint="eastAsia" w:ascii="宋体" w:hAnsi="宋体" w:eastAsia="宋体" w:cs="宋体"/>
                <w:i w:val="0"/>
                <w:iCs w:val="0"/>
                <w:color w:val="000000"/>
                <w:kern w:val="0"/>
                <w:sz w:val="21"/>
                <w:szCs w:val="21"/>
                <w:u w:val="none"/>
                <w:lang w:val="en-US" w:eastAsia="zh-CN" w:bidi="ar"/>
              </w:rPr>
              <w:t>名称</w:t>
            </w:r>
          </w:p>
        </w:tc>
        <w:tc>
          <w:tcPr>
            <w:tcW w:w="1331" w:type="dxa"/>
            <w:tcBorders>
              <w:left w:val="single" w:color="000000" w:sz="4" w:space="0"/>
              <w:bottom w:val="single" w:color="000000" w:sz="4" w:space="0"/>
              <w:right w:val="single" w:color="000000" w:sz="4" w:space="0"/>
            </w:tcBorders>
            <w:noWrap/>
            <w:vAlign w:val="center"/>
          </w:tcPr>
          <w:p w14:paraId="5ADB08F5">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2"/>
                <w:sz w:val="21"/>
                <w:szCs w:val="21"/>
                <w:u w:val="none"/>
                <w:lang w:eastAsia="zh-CN"/>
              </w:rPr>
            </w:pPr>
            <w:r>
              <w:rPr>
                <w:rFonts w:hint="eastAsia" w:ascii="宋体" w:hAnsi="宋体" w:eastAsia="宋体" w:cs="宋体"/>
                <w:i w:val="0"/>
                <w:iCs w:val="0"/>
                <w:color w:val="000000"/>
                <w:kern w:val="0"/>
                <w:sz w:val="21"/>
                <w:szCs w:val="21"/>
                <w:u w:val="none"/>
                <w:lang w:val="en-US" w:eastAsia="zh-CN" w:bidi="ar"/>
              </w:rPr>
              <w:t>购置数量</w:t>
            </w:r>
          </w:p>
        </w:tc>
        <w:tc>
          <w:tcPr>
            <w:tcW w:w="1595" w:type="dxa"/>
            <w:tcBorders>
              <w:left w:val="single" w:color="000000" w:sz="4" w:space="0"/>
              <w:bottom w:val="single" w:color="000000" w:sz="4" w:space="0"/>
              <w:right w:val="single" w:color="000000" w:sz="4" w:space="0"/>
            </w:tcBorders>
            <w:noWrap/>
            <w:vAlign w:val="center"/>
          </w:tcPr>
          <w:p w14:paraId="7E3C6F10">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2"/>
                <w:sz w:val="21"/>
                <w:szCs w:val="21"/>
                <w:u w:val="none"/>
                <w:lang w:val="en-US" w:eastAsia="zh-CN"/>
              </w:rPr>
            </w:pPr>
            <w:r>
              <w:rPr>
                <w:rFonts w:hint="eastAsia" w:ascii="宋体" w:hAnsi="宋体" w:eastAsia="宋体" w:cs="宋体"/>
                <w:i w:val="0"/>
                <w:iCs w:val="0"/>
                <w:color w:val="000000"/>
                <w:kern w:val="2"/>
                <w:sz w:val="21"/>
                <w:szCs w:val="21"/>
                <w:u w:val="none"/>
                <w:lang w:val="en-US" w:eastAsia="zh-CN"/>
              </w:rPr>
              <w:t>单位</w:t>
            </w:r>
          </w:p>
        </w:tc>
        <w:tc>
          <w:tcPr>
            <w:tcW w:w="1243" w:type="dxa"/>
            <w:tcBorders>
              <w:left w:val="single" w:color="000000" w:sz="4" w:space="0"/>
              <w:bottom w:val="single" w:color="000000" w:sz="4" w:space="0"/>
            </w:tcBorders>
            <w:noWrap/>
            <w:vAlign w:val="center"/>
          </w:tcPr>
          <w:p w14:paraId="11F6DA98">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2"/>
                <w:sz w:val="21"/>
                <w:szCs w:val="21"/>
                <w:u w:val="none"/>
                <w:lang w:eastAsia="zh-CN"/>
              </w:rPr>
            </w:pPr>
            <w:r>
              <w:rPr>
                <w:rFonts w:hint="eastAsia" w:ascii="宋体" w:hAnsi="宋体" w:eastAsia="宋体" w:cs="宋体"/>
                <w:i w:val="0"/>
                <w:iCs w:val="0"/>
                <w:color w:val="000000"/>
                <w:kern w:val="0"/>
                <w:sz w:val="21"/>
                <w:szCs w:val="21"/>
                <w:u w:val="none"/>
                <w:lang w:val="en-US" w:eastAsia="zh-CN" w:bidi="ar"/>
              </w:rPr>
              <w:t>备注</w:t>
            </w:r>
          </w:p>
        </w:tc>
      </w:tr>
      <w:tr w14:paraId="6422B4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575" w:type="dxa"/>
            <w:tcBorders>
              <w:top w:val="single" w:color="000000" w:sz="4" w:space="0"/>
              <w:bottom w:val="single" w:color="000000" w:sz="4" w:space="0"/>
              <w:right w:val="single" w:color="000000" w:sz="4" w:space="0"/>
            </w:tcBorders>
            <w:noWrap/>
            <w:vAlign w:val="center"/>
          </w:tcPr>
          <w:p w14:paraId="7EDFD61A">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2"/>
                <w:sz w:val="21"/>
                <w:szCs w:val="21"/>
                <w:u w:val="none"/>
                <w:lang w:eastAsia="zh-CN"/>
              </w:rPr>
            </w:pPr>
            <w:r>
              <w:rPr>
                <w:rFonts w:hint="eastAsia" w:ascii="宋体" w:hAnsi="宋体" w:eastAsia="宋体" w:cs="宋体"/>
                <w:i w:val="0"/>
                <w:iCs w:val="0"/>
                <w:color w:val="000000"/>
                <w:kern w:val="0"/>
                <w:sz w:val="21"/>
                <w:szCs w:val="21"/>
                <w:u w:val="none"/>
                <w:lang w:val="en-US" w:eastAsia="zh-CN" w:bidi="ar"/>
              </w:rPr>
              <w:t>1</w:t>
            </w:r>
          </w:p>
        </w:tc>
        <w:tc>
          <w:tcPr>
            <w:tcW w:w="3193" w:type="dxa"/>
            <w:tcBorders>
              <w:top w:val="single" w:color="000000" w:sz="4" w:space="0"/>
              <w:left w:val="single" w:color="000000" w:sz="4" w:space="0"/>
              <w:bottom w:val="single" w:color="000000" w:sz="4" w:space="0"/>
              <w:right w:val="single" w:color="000000" w:sz="4" w:space="0"/>
            </w:tcBorders>
            <w:noWrap w:val="0"/>
            <w:vAlign w:val="center"/>
          </w:tcPr>
          <w:p w14:paraId="762716BA">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2"/>
                <w:sz w:val="21"/>
                <w:szCs w:val="21"/>
                <w:u w:val="none"/>
                <w:lang w:eastAsia="zh-CN"/>
              </w:rPr>
            </w:pPr>
            <w:r>
              <w:rPr>
                <w:rFonts w:hint="eastAsia" w:ascii="宋体" w:hAnsi="宋体" w:eastAsia="宋体" w:cs="宋体"/>
                <w:i w:val="0"/>
                <w:iCs w:val="0"/>
                <w:color w:val="000000"/>
                <w:kern w:val="0"/>
                <w:sz w:val="21"/>
                <w:szCs w:val="21"/>
                <w:u w:val="none"/>
                <w:lang w:val="en-US" w:eastAsia="zh-CN" w:bidi="ar"/>
              </w:rPr>
              <w:t>笼式场地围网系统</w:t>
            </w:r>
          </w:p>
        </w:tc>
        <w:tc>
          <w:tcPr>
            <w:tcW w:w="1331" w:type="dxa"/>
            <w:tcBorders>
              <w:top w:val="single" w:color="000000" w:sz="4" w:space="0"/>
              <w:left w:val="single" w:color="000000" w:sz="4" w:space="0"/>
              <w:bottom w:val="single" w:color="000000" w:sz="4" w:space="0"/>
              <w:right w:val="single" w:color="000000" w:sz="4" w:space="0"/>
            </w:tcBorders>
            <w:noWrap w:val="0"/>
            <w:vAlign w:val="center"/>
          </w:tcPr>
          <w:p w14:paraId="24C87CAD">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2"/>
                <w:sz w:val="21"/>
                <w:szCs w:val="21"/>
                <w:u w:val="none"/>
                <w:lang w:eastAsia="zh-CN"/>
              </w:rPr>
            </w:pPr>
            <w:r>
              <w:rPr>
                <w:rFonts w:hint="eastAsia" w:ascii="宋体" w:hAnsi="宋体" w:eastAsia="宋体" w:cs="宋体"/>
                <w:i w:val="0"/>
                <w:iCs w:val="0"/>
                <w:color w:val="000000"/>
                <w:kern w:val="0"/>
                <w:sz w:val="21"/>
                <w:szCs w:val="21"/>
                <w:u w:val="none"/>
                <w:lang w:val="en-US" w:eastAsia="zh-CN" w:bidi="ar"/>
              </w:rPr>
              <w:t>2</w:t>
            </w:r>
          </w:p>
        </w:tc>
        <w:tc>
          <w:tcPr>
            <w:tcW w:w="1595" w:type="dxa"/>
            <w:tcBorders>
              <w:top w:val="single" w:color="000000" w:sz="4" w:space="0"/>
              <w:left w:val="single" w:color="000000" w:sz="4" w:space="0"/>
              <w:bottom w:val="single" w:color="000000" w:sz="4" w:space="0"/>
              <w:right w:val="single" w:color="000000" w:sz="4" w:space="0"/>
            </w:tcBorders>
            <w:noWrap w:val="0"/>
            <w:vAlign w:val="center"/>
          </w:tcPr>
          <w:p w14:paraId="405CAEBE">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2"/>
                <w:sz w:val="21"/>
                <w:szCs w:val="21"/>
                <w:u w:val="none"/>
                <w:lang w:val="en-US" w:eastAsia="zh-CN"/>
              </w:rPr>
            </w:pPr>
            <w:r>
              <w:rPr>
                <w:rFonts w:hint="eastAsia" w:ascii="宋体" w:hAnsi="宋体" w:eastAsia="宋体" w:cs="宋体"/>
                <w:i w:val="0"/>
                <w:iCs w:val="0"/>
                <w:color w:val="000000"/>
                <w:kern w:val="2"/>
                <w:sz w:val="21"/>
                <w:szCs w:val="21"/>
                <w:u w:val="none"/>
                <w:lang w:val="en-US" w:eastAsia="zh-CN"/>
              </w:rPr>
              <w:t>套</w:t>
            </w:r>
          </w:p>
        </w:tc>
        <w:tc>
          <w:tcPr>
            <w:tcW w:w="1243" w:type="dxa"/>
            <w:vMerge w:val="restart"/>
            <w:tcBorders>
              <w:top w:val="single" w:color="000000" w:sz="4" w:space="0"/>
              <w:left w:val="single" w:color="000000" w:sz="4" w:space="0"/>
              <w:bottom w:val="single" w:color="000000" w:sz="4" w:space="0"/>
            </w:tcBorders>
            <w:noWrap w:val="0"/>
            <w:vAlign w:val="center"/>
          </w:tcPr>
          <w:p w14:paraId="2A3A5680">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2"/>
                <w:sz w:val="21"/>
                <w:szCs w:val="21"/>
                <w:u w:val="none"/>
                <w:lang w:eastAsia="zh-CN"/>
              </w:rPr>
            </w:pPr>
            <w:r>
              <w:rPr>
                <w:rFonts w:hint="eastAsia" w:ascii="宋体" w:hAnsi="宋体" w:eastAsia="宋体" w:cs="宋体"/>
                <w:i w:val="0"/>
                <w:iCs w:val="0"/>
                <w:color w:val="000000"/>
                <w:kern w:val="0"/>
                <w:sz w:val="21"/>
                <w:szCs w:val="21"/>
                <w:u w:val="none"/>
                <w:lang w:val="en-US" w:eastAsia="zh-CN" w:bidi="ar"/>
              </w:rPr>
              <w:t>多功能运动场</w:t>
            </w:r>
          </w:p>
        </w:tc>
      </w:tr>
      <w:tr w14:paraId="6A5779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575" w:type="dxa"/>
            <w:tcBorders>
              <w:top w:val="single" w:color="000000" w:sz="4" w:space="0"/>
              <w:bottom w:val="single" w:color="000000" w:sz="4" w:space="0"/>
              <w:right w:val="single" w:color="000000" w:sz="4" w:space="0"/>
            </w:tcBorders>
            <w:noWrap/>
            <w:vAlign w:val="center"/>
          </w:tcPr>
          <w:p w14:paraId="79390099">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2"/>
                <w:sz w:val="21"/>
                <w:szCs w:val="21"/>
                <w:u w:val="none"/>
                <w:lang w:eastAsia="zh-CN"/>
              </w:rPr>
            </w:pPr>
            <w:r>
              <w:rPr>
                <w:rFonts w:hint="eastAsia" w:ascii="宋体" w:hAnsi="宋体" w:eastAsia="宋体" w:cs="宋体"/>
                <w:i w:val="0"/>
                <w:iCs w:val="0"/>
                <w:color w:val="000000"/>
                <w:kern w:val="0"/>
                <w:sz w:val="21"/>
                <w:szCs w:val="21"/>
                <w:u w:val="none"/>
                <w:lang w:val="en-US" w:eastAsia="zh-CN" w:bidi="ar"/>
              </w:rPr>
              <w:t>2</w:t>
            </w:r>
          </w:p>
        </w:tc>
        <w:tc>
          <w:tcPr>
            <w:tcW w:w="3193" w:type="dxa"/>
            <w:tcBorders>
              <w:top w:val="single" w:color="000000" w:sz="4" w:space="0"/>
              <w:left w:val="single" w:color="000000" w:sz="4" w:space="0"/>
              <w:bottom w:val="single" w:color="000000" w:sz="4" w:space="0"/>
              <w:right w:val="single" w:color="000000" w:sz="4" w:space="0"/>
            </w:tcBorders>
            <w:noWrap w:val="0"/>
            <w:vAlign w:val="center"/>
          </w:tcPr>
          <w:p w14:paraId="11754C9B">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2"/>
                <w:sz w:val="21"/>
                <w:szCs w:val="21"/>
                <w:u w:val="none"/>
                <w:lang w:eastAsia="zh-CN"/>
              </w:rPr>
            </w:pPr>
            <w:r>
              <w:rPr>
                <w:rFonts w:hint="eastAsia" w:ascii="宋体" w:hAnsi="宋体" w:eastAsia="宋体" w:cs="宋体"/>
                <w:i w:val="0"/>
                <w:iCs w:val="0"/>
                <w:color w:val="000000"/>
                <w:kern w:val="0"/>
                <w:sz w:val="21"/>
                <w:szCs w:val="21"/>
                <w:u w:val="none"/>
                <w:lang w:val="en-US" w:eastAsia="zh-CN" w:bidi="ar"/>
              </w:rPr>
              <w:t>悬浮式拼装地板</w:t>
            </w:r>
          </w:p>
        </w:tc>
        <w:tc>
          <w:tcPr>
            <w:tcW w:w="1331" w:type="dxa"/>
            <w:tcBorders>
              <w:top w:val="single" w:color="000000" w:sz="4" w:space="0"/>
              <w:left w:val="single" w:color="000000" w:sz="4" w:space="0"/>
              <w:bottom w:val="single" w:color="000000" w:sz="4" w:space="0"/>
              <w:right w:val="single" w:color="000000" w:sz="4" w:space="0"/>
            </w:tcBorders>
            <w:noWrap w:val="0"/>
            <w:vAlign w:val="center"/>
          </w:tcPr>
          <w:p w14:paraId="2437EAED">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2"/>
                <w:sz w:val="21"/>
                <w:szCs w:val="21"/>
                <w:u w:val="none"/>
                <w:lang w:eastAsia="zh-CN"/>
              </w:rPr>
            </w:pPr>
            <w:r>
              <w:rPr>
                <w:rFonts w:hint="eastAsia" w:ascii="宋体" w:hAnsi="宋体" w:eastAsia="宋体" w:cs="宋体"/>
                <w:i w:val="0"/>
                <w:iCs w:val="0"/>
                <w:color w:val="000000"/>
                <w:kern w:val="0"/>
                <w:sz w:val="21"/>
                <w:szCs w:val="21"/>
                <w:u w:val="none"/>
                <w:lang w:val="en-US" w:eastAsia="zh-CN" w:bidi="ar"/>
              </w:rPr>
              <w:t>2</w:t>
            </w:r>
          </w:p>
        </w:tc>
        <w:tc>
          <w:tcPr>
            <w:tcW w:w="1595" w:type="dxa"/>
            <w:tcBorders>
              <w:top w:val="single" w:color="000000" w:sz="4" w:space="0"/>
              <w:left w:val="single" w:color="000000" w:sz="4" w:space="0"/>
              <w:bottom w:val="single" w:color="000000" w:sz="4" w:space="0"/>
              <w:right w:val="single" w:color="000000" w:sz="4" w:space="0"/>
            </w:tcBorders>
            <w:noWrap w:val="0"/>
            <w:vAlign w:val="center"/>
          </w:tcPr>
          <w:p w14:paraId="4431513D">
            <w:pPr>
              <w:keepNext w:val="0"/>
              <w:keepLines w:val="0"/>
              <w:widowControl/>
              <w:suppressLineNumbers w:val="0"/>
              <w:spacing w:after="0" w:line="240" w:lineRule="auto"/>
              <w:jc w:val="center"/>
              <w:textAlignment w:val="center"/>
              <w:rPr>
                <w:rFonts w:hint="eastAsia" w:ascii="宋体" w:hAnsi="宋体" w:eastAsia="宋体" w:cs="宋体"/>
                <w:i w:val="0"/>
                <w:iCs w:val="0"/>
                <w:color w:val="FF0000"/>
                <w:kern w:val="2"/>
                <w:sz w:val="21"/>
                <w:szCs w:val="21"/>
                <w:u w:val="none"/>
                <w:lang w:val="en-US" w:eastAsia="zh-CN"/>
              </w:rPr>
            </w:pPr>
            <w:r>
              <w:rPr>
                <w:rFonts w:hint="eastAsia" w:ascii="宋体" w:hAnsi="宋体" w:eastAsia="宋体" w:cs="宋体"/>
                <w:i w:val="0"/>
                <w:iCs w:val="0"/>
                <w:color w:val="000000"/>
                <w:kern w:val="2"/>
                <w:sz w:val="21"/>
                <w:szCs w:val="21"/>
                <w:u w:val="none"/>
                <w:lang w:val="en-US" w:eastAsia="zh-CN"/>
              </w:rPr>
              <w:t>套</w:t>
            </w:r>
          </w:p>
        </w:tc>
        <w:tc>
          <w:tcPr>
            <w:tcW w:w="1243" w:type="dxa"/>
            <w:vMerge w:val="continue"/>
            <w:tcBorders>
              <w:top w:val="single" w:color="000000" w:sz="4" w:space="0"/>
              <w:left w:val="single" w:color="000000" w:sz="4" w:space="0"/>
              <w:bottom w:val="single" w:color="000000" w:sz="4" w:space="0"/>
            </w:tcBorders>
            <w:noWrap w:val="0"/>
            <w:vAlign w:val="center"/>
          </w:tcPr>
          <w:p w14:paraId="3BDA85EE">
            <w:pPr>
              <w:spacing w:after="0" w:line="240" w:lineRule="auto"/>
              <w:jc w:val="center"/>
              <w:rPr>
                <w:rFonts w:hint="eastAsia" w:ascii="宋体" w:hAnsi="宋体" w:eastAsia="宋体" w:cs="宋体"/>
                <w:i w:val="0"/>
                <w:iCs w:val="0"/>
                <w:color w:val="000000"/>
                <w:kern w:val="2"/>
                <w:sz w:val="21"/>
                <w:szCs w:val="21"/>
                <w:u w:val="none"/>
                <w:lang w:eastAsia="zh-CN"/>
              </w:rPr>
            </w:pPr>
          </w:p>
        </w:tc>
      </w:tr>
      <w:tr w14:paraId="7D10B5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575" w:type="dxa"/>
            <w:tcBorders>
              <w:top w:val="single" w:color="000000" w:sz="4" w:space="0"/>
              <w:bottom w:val="single" w:color="000000" w:sz="4" w:space="0"/>
              <w:right w:val="single" w:color="000000" w:sz="4" w:space="0"/>
            </w:tcBorders>
            <w:noWrap/>
            <w:vAlign w:val="center"/>
          </w:tcPr>
          <w:p w14:paraId="1B0057B7">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2"/>
                <w:sz w:val="21"/>
                <w:szCs w:val="21"/>
                <w:u w:val="none"/>
                <w:lang w:eastAsia="zh-CN"/>
              </w:rPr>
            </w:pPr>
            <w:r>
              <w:rPr>
                <w:rFonts w:hint="eastAsia" w:ascii="宋体" w:hAnsi="宋体" w:eastAsia="宋体" w:cs="宋体"/>
                <w:i w:val="0"/>
                <w:iCs w:val="0"/>
                <w:color w:val="000000"/>
                <w:kern w:val="0"/>
                <w:sz w:val="21"/>
                <w:szCs w:val="21"/>
                <w:u w:val="none"/>
                <w:lang w:val="en-US" w:eastAsia="zh-CN" w:bidi="ar"/>
              </w:rPr>
              <w:t>3</w:t>
            </w:r>
          </w:p>
        </w:tc>
        <w:tc>
          <w:tcPr>
            <w:tcW w:w="3193" w:type="dxa"/>
            <w:tcBorders>
              <w:top w:val="single" w:color="000000" w:sz="4" w:space="0"/>
              <w:left w:val="single" w:color="000000" w:sz="4" w:space="0"/>
              <w:bottom w:val="single" w:color="000000" w:sz="4" w:space="0"/>
              <w:right w:val="single" w:color="000000" w:sz="4" w:space="0"/>
            </w:tcBorders>
            <w:noWrap w:val="0"/>
            <w:vAlign w:val="center"/>
          </w:tcPr>
          <w:p w14:paraId="4DBCB802">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2"/>
                <w:sz w:val="21"/>
                <w:szCs w:val="21"/>
                <w:u w:val="none"/>
                <w:lang w:eastAsia="zh-CN"/>
              </w:rPr>
            </w:pPr>
            <w:r>
              <w:rPr>
                <w:rFonts w:hint="eastAsia" w:ascii="宋体" w:hAnsi="宋体" w:eastAsia="宋体" w:cs="宋体"/>
                <w:i w:val="0"/>
                <w:iCs w:val="0"/>
                <w:color w:val="000000"/>
                <w:kern w:val="0"/>
                <w:sz w:val="21"/>
                <w:szCs w:val="21"/>
                <w:u w:val="none"/>
                <w:lang w:val="en-US" w:eastAsia="zh-CN" w:bidi="ar"/>
              </w:rPr>
              <w:t>一体式篮球架足球门</w:t>
            </w:r>
          </w:p>
        </w:tc>
        <w:tc>
          <w:tcPr>
            <w:tcW w:w="1331" w:type="dxa"/>
            <w:tcBorders>
              <w:top w:val="single" w:color="000000" w:sz="4" w:space="0"/>
              <w:left w:val="single" w:color="000000" w:sz="4" w:space="0"/>
              <w:bottom w:val="single" w:color="000000" w:sz="4" w:space="0"/>
              <w:right w:val="single" w:color="000000" w:sz="4" w:space="0"/>
            </w:tcBorders>
            <w:noWrap w:val="0"/>
            <w:vAlign w:val="center"/>
          </w:tcPr>
          <w:p w14:paraId="655CD664">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2"/>
                <w:sz w:val="21"/>
                <w:szCs w:val="21"/>
                <w:u w:val="none"/>
                <w:lang w:eastAsia="zh-CN"/>
              </w:rPr>
            </w:pPr>
            <w:r>
              <w:rPr>
                <w:rFonts w:hint="eastAsia" w:ascii="宋体" w:hAnsi="宋体" w:eastAsia="宋体" w:cs="宋体"/>
                <w:i w:val="0"/>
                <w:iCs w:val="0"/>
                <w:color w:val="000000"/>
                <w:kern w:val="0"/>
                <w:sz w:val="21"/>
                <w:szCs w:val="21"/>
                <w:u w:val="none"/>
                <w:lang w:val="en-US" w:eastAsia="zh-CN" w:bidi="ar"/>
              </w:rPr>
              <w:t>2</w:t>
            </w:r>
          </w:p>
        </w:tc>
        <w:tc>
          <w:tcPr>
            <w:tcW w:w="1595" w:type="dxa"/>
            <w:tcBorders>
              <w:top w:val="single" w:color="000000" w:sz="4" w:space="0"/>
              <w:left w:val="single" w:color="000000" w:sz="4" w:space="0"/>
              <w:bottom w:val="single" w:color="000000" w:sz="4" w:space="0"/>
              <w:right w:val="single" w:color="000000" w:sz="4" w:space="0"/>
            </w:tcBorders>
            <w:noWrap w:val="0"/>
            <w:vAlign w:val="center"/>
          </w:tcPr>
          <w:p w14:paraId="57CF11F8">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2"/>
                <w:sz w:val="21"/>
                <w:szCs w:val="21"/>
                <w:u w:val="none"/>
                <w:lang w:val="en-US" w:eastAsia="zh-CN"/>
              </w:rPr>
            </w:pPr>
            <w:r>
              <w:rPr>
                <w:rFonts w:hint="eastAsia" w:ascii="宋体" w:hAnsi="宋体" w:eastAsia="宋体" w:cs="宋体"/>
                <w:i w:val="0"/>
                <w:iCs w:val="0"/>
                <w:color w:val="000000"/>
                <w:kern w:val="2"/>
                <w:sz w:val="21"/>
                <w:szCs w:val="21"/>
                <w:u w:val="none"/>
                <w:lang w:val="en-US" w:eastAsia="zh-CN"/>
              </w:rPr>
              <w:t>套</w:t>
            </w:r>
          </w:p>
        </w:tc>
        <w:tc>
          <w:tcPr>
            <w:tcW w:w="1243" w:type="dxa"/>
            <w:vMerge w:val="continue"/>
            <w:tcBorders>
              <w:top w:val="single" w:color="000000" w:sz="4" w:space="0"/>
              <w:left w:val="single" w:color="000000" w:sz="4" w:space="0"/>
              <w:bottom w:val="single" w:color="000000" w:sz="4" w:space="0"/>
            </w:tcBorders>
            <w:noWrap w:val="0"/>
            <w:vAlign w:val="center"/>
          </w:tcPr>
          <w:p w14:paraId="15F9BBC1">
            <w:pPr>
              <w:spacing w:after="0" w:line="240" w:lineRule="auto"/>
              <w:jc w:val="center"/>
              <w:rPr>
                <w:rFonts w:hint="eastAsia" w:ascii="宋体" w:hAnsi="宋体" w:eastAsia="宋体" w:cs="宋体"/>
                <w:i w:val="0"/>
                <w:iCs w:val="0"/>
                <w:color w:val="000000"/>
                <w:kern w:val="2"/>
                <w:sz w:val="21"/>
                <w:szCs w:val="21"/>
                <w:u w:val="none"/>
                <w:lang w:eastAsia="zh-CN"/>
              </w:rPr>
            </w:pPr>
          </w:p>
        </w:tc>
      </w:tr>
      <w:tr w14:paraId="3B2B0A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575" w:type="dxa"/>
            <w:tcBorders>
              <w:top w:val="single" w:color="000000" w:sz="4" w:space="0"/>
              <w:bottom w:val="single" w:color="000000" w:sz="4" w:space="0"/>
              <w:right w:val="single" w:color="000000" w:sz="4" w:space="0"/>
            </w:tcBorders>
            <w:noWrap/>
            <w:vAlign w:val="center"/>
          </w:tcPr>
          <w:p w14:paraId="4763DC47">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2"/>
                <w:sz w:val="21"/>
                <w:szCs w:val="21"/>
                <w:u w:val="none"/>
                <w:lang w:eastAsia="zh-CN"/>
              </w:rPr>
            </w:pPr>
            <w:r>
              <w:rPr>
                <w:rFonts w:hint="eastAsia" w:ascii="宋体" w:hAnsi="宋体" w:eastAsia="宋体" w:cs="宋体"/>
                <w:i w:val="0"/>
                <w:iCs w:val="0"/>
                <w:color w:val="000000"/>
                <w:kern w:val="0"/>
                <w:sz w:val="21"/>
                <w:szCs w:val="21"/>
                <w:u w:val="none"/>
                <w:lang w:val="en-US" w:eastAsia="zh-CN" w:bidi="ar"/>
              </w:rPr>
              <w:t>4</w:t>
            </w:r>
          </w:p>
        </w:tc>
        <w:tc>
          <w:tcPr>
            <w:tcW w:w="3193" w:type="dxa"/>
            <w:tcBorders>
              <w:top w:val="single" w:color="000000" w:sz="4" w:space="0"/>
              <w:left w:val="single" w:color="000000" w:sz="4" w:space="0"/>
              <w:bottom w:val="single" w:color="000000" w:sz="4" w:space="0"/>
              <w:right w:val="single" w:color="000000" w:sz="4" w:space="0"/>
            </w:tcBorders>
            <w:noWrap w:val="0"/>
            <w:vAlign w:val="center"/>
          </w:tcPr>
          <w:p w14:paraId="7D102E46">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eastAsia="zh-CN"/>
              </w:rPr>
            </w:pPr>
            <w:r>
              <w:rPr>
                <w:rFonts w:hint="eastAsia" w:ascii="宋体" w:hAnsi="宋体" w:eastAsia="宋体" w:cs="宋体"/>
                <w:i w:val="0"/>
                <w:iCs w:val="0"/>
                <w:color w:val="000000"/>
                <w:kern w:val="0"/>
                <w:sz w:val="21"/>
                <w:szCs w:val="21"/>
                <w:u w:val="none"/>
                <w:lang w:val="en-US" w:eastAsia="zh-CN" w:bidi="ar"/>
              </w:rPr>
              <w:t>宣传公示牌</w:t>
            </w:r>
          </w:p>
        </w:tc>
        <w:tc>
          <w:tcPr>
            <w:tcW w:w="1331" w:type="dxa"/>
            <w:tcBorders>
              <w:top w:val="single" w:color="000000" w:sz="4" w:space="0"/>
              <w:left w:val="single" w:color="000000" w:sz="4" w:space="0"/>
              <w:bottom w:val="single" w:color="000000" w:sz="4" w:space="0"/>
              <w:right w:val="single" w:color="000000" w:sz="4" w:space="0"/>
            </w:tcBorders>
            <w:noWrap w:val="0"/>
            <w:vAlign w:val="center"/>
          </w:tcPr>
          <w:p w14:paraId="7A35738A">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eastAsia="zh-CN"/>
              </w:rPr>
            </w:pPr>
            <w:r>
              <w:rPr>
                <w:rFonts w:hint="eastAsia" w:ascii="宋体" w:hAnsi="宋体" w:eastAsia="宋体" w:cs="宋体"/>
                <w:i w:val="0"/>
                <w:iCs w:val="0"/>
                <w:color w:val="000000"/>
                <w:kern w:val="0"/>
                <w:sz w:val="21"/>
                <w:szCs w:val="21"/>
                <w:u w:val="none"/>
                <w:lang w:val="en-US" w:eastAsia="zh-CN" w:bidi="ar"/>
              </w:rPr>
              <w:t>4</w:t>
            </w:r>
          </w:p>
        </w:tc>
        <w:tc>
          <w:tcPr>
            <w:tcW w:w="1595" w:type="dxa"/>
            <w:tcBorders>
              <w:top w:val="single" w:color="000000" w:sz="4" w:space="0"/>
              <w:left w:val="single" w:color="000000" w:sz="4" w:space="0"/>
              <w:bottom w:val="single" w:color="000000" w:sz="4" w:space="0"/>
              <w:right w:val="single" w:color="000000" w:sz="4" w:space="0"/>
            </w:tcBorders>
            <w:noWrap w:val="0"/>
            <w:vAlign w:val="center"/>
          </w:tcPr>
          <w:p w14:paraId="082BEAF4">
            <w:pPr>
              <w:keepNext w:val="0"/>
              <w:keepLines w:val="0"/>
              <w:widowControl/>
              <w:suppressLineNumbers w:val="0"/>
              <w:spacing w:after="0" w:line="240" w:lineRule="auto"/>
              <w:jc w:val="center"/>
              <w:textAlignment w:val="center"/>
              <w:rPr>
                <w:rFonts w:hint="default" w:ascii="宋体" w:hAnsi="宋体" w:eastAsia="宋体" w:cs="宋体"/>
                <w:i w:val="0"/>
                <w:iCs w:val="0"/>
                <w:color w:val="000000"/>
                <w:kern w:val="2"/>
                <w:sz w:val="21"/>
                <w:szCs w:val="21"/>
                <w:u w:val="none"/>
                <w:lang w:val="en-US" w:eastAsia="zh-CN"/>
              </w:rPr>
            </w:pPr>
            <w:r>
              <w:rPr>
                <w:rFonts w:hint="eastAsia" w:ascii="宋体" w:hAnsi="宋体" w:eastAsia="宋体" w:cs="宋体"/>
                <w:i w:val="0"/>
                <w:iCs w:val="0"/>
                <w:color w:val="000000"/>
                <w:kern w:val="2"/>
                <w:sz w:val="21"/>
                <w:szCs w:val="21"/>
                <w:u w:val="none"/>
                <w:lang w:val="en-US" w:eastAsia="zh-CN"/>
              </w:rPr>
              <w:t>件</w:t>
            </w:r>
          </w:p>
        </w:tc>
        <w:tc>
          <w:tcPr>
            <w:tcW w:w="1243" w:type="dxa"/>
            <w:vMerge w:val="continue"/>
            <w:tcBorders>
              <w:top w:val="single" w:color="000000" w:sz="4" w:space="0"/>
              <w:left w:val="single" w:color="000000" w:sz="4" w:space="0"/>
              <w:bottom w:val="single" w:color="000000" w:sz="4" w:space="0"/>
            </w:tcBorders>
            <w:noWrap w:val="0"/>
            <w:vAlign w:val="center"/>
          </w:tcPr>
          <w:p w14:paraId="2D1422F8">
            <w:pPr>
              <w:spacing w:after="0" w:line="240" w:lineRule="auto"/>
              <w:jc w:val="center"/>
              <w:rPr>
                <w:rFonts w:hint="eastAsia" w:ascii="宋体" w:hAnsi="宋体" w:eastAsia="宋体" w:cs="宋体"/>
                <w:i w:val="0"/>
                <w:iCs w:val="0"/>
                <w:color w:val="000000"/>
                <w:kern w:val="2"/>
                <w:sz w:val="21"/>
                <w:szCs w:val="21"/>
                <w:u w:val="none"/>
                <w:lang w:eastAsia="zh-CN"/>
              </w:rPr>
            </w:pPr>
          </w:p>
        </w:tc>
      </w:tr>
      <w:tr w14:paraId="55D279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575" w:type="dxa"/>
            <w:tcBorders>
              <w:top w:val="single" w:color="000000" w:sz="4" w:space="0"/>
              <w:bottom w:val="single" w:color="000000" w:sz="4" w:space="0"/>
              <w:right w:val="single" w:color="000000" w:sz="4" w:space="0"/>
            </w:tcBorders>
            <w:noWrap/>
            <w:vAlign w:val="center"/>
          </w:tcPr>
          <w:p w14:paraId="47BA3926">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2"/>
                <w:sz w:val="21"/>
                <w:szCs w:val="21"/>
                <w:u w:val="none"/>
                <w:lang w:eastAsia="zh-CN"/>
              </w:rPr>
            </w:pPr>
            <w:r>
              <w:rPr>
                <w:rFonts w:hint="eastAsia" w:ascii="宋体" w:hAnsi="宋体" w:eastAsia="宋体" w:cs="宋体"/>
                <w:i w:val="0"/>
                <w:iCs w:val="0"/>
                <w:color w:val="000000"/>
                <w:kern w:val="0"/>
                <w:sz w:val="21"/>
                <w:szCs w:val="21"/>
                <w:u w:val="none"/>
                <w:lang w:val="en-US" w:eastAsia="zh-CN" w:bidi="ar"/>
              </w:rPr>
              <w:t>5</w:t>
            </w:r>
          </w:p>
        </w:tc>
        <w:tc>
          <w:tcPr>
            <w:tcW w:w="3193" w:type="dxa"/>
            <w:tcBorders>
              <w:top w:val="single" w:color="000000" w:sz="4" w:space="0"/>
              <w:left w:val="single" w:color="000000" w:sz="4" w:space="0"/>
              <w:bottom w:val="single" w:color="000000" w:sz="4" w:space="0"/>
              <w:right w:val="single" w:color="000000" w:sz="4" w:space="0"/>
            </w:tcBorders>
            <w:noWrap w:val="0"/>
            <w:vAlign w:val="center"/>
          </w:tcPr>
          <w:p w14:paraId="162571E2">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eastAsia="zh-CN"/>
              </w:rPr>
            </w:pPr>
            <w:r>
              <w:rPr>
                <w:rFonts w:hint="eastAsia" w:ascii="宋体" w:hAnsi="宋体" w:eastAsia="宋体" w:cs="宋体"/>
                <w:i w:val="0"/>
                <w:iCs w:val="0"/>
                <w:color w:val="000000"/>
                <w:kern w:val="0"/>
                <w:sz w:val="21"/>
                <w:szCs w:val="21"/>
                <w:u w:val="none"/>
                <w:lang w:val="en-US" w:eastAsia="zh-CN" w:bidi="ar"/>
              </w:rPr>
              <w:t>附属安装材料（场地范围内）（套）</w:t>
            </w:r>
          </w:p>
        </w:tc>
        <w:tc>
          <w:tcPr>
            <w:tcW w:w="1331" w:type="dxa"/>
            <w:tcBorders>
              <w:top w:val="single" w:color="000000" w:sz="4" w:space="0"/>
              <w:left w:val="single" w:color="000000" w:sz="4" w:space="0"/>
              <w:bottom w:val="single" w:color="000000" w:sz="4" w:space="0"/>
              <w:right w:val="single" w:color="000000" w:sz="4" w:space="0"/>
            </w:tcBorders>
            <w:noWrap w:val="0"/>
            <w:vAlign w:val="center"/>
          </w:tcPr>
          <w:p w14:paraId="2A2CEB4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eastAsia="zh-CN"/>
              </w:rPr>
            </w:pPr>
            <w:r>
              <w:rPr>
                <w:rFonts w:hint="eastAsia" w:ascii="宋体" w:hAnsi="宋体" w:eastAsia="宋体" w:cs="宋体"/>
                <w:i w:val="0"/>
                <w:iCs w:val="0"/>
                <w:color w:val="000000"/>
                <w:kern w:val="0"/>
                <w:sz w:val="21"/>
                <w:szCs w:val="21"/>
                <w:u w:val="none"/>
                <w:lang w:val="en-US" w:eastAsia="zh-CN" w:bidi="ar"/>
              </w:rPr>
              <w:t>2</w:t>
            </w:r>
          </w:p>
        </w:tc>
        <w:tc>
          <w:tcPr>
            <w:tcW w:w="1595" w:type="dxa"/>
            <w:tcBorders>
              <w:top w:val="single" w:color="000000" w:sz="4" w:space="0"/>
              <w:left w:val="single" w:color="000000" w:sz="4" w:space="0"/>
              <w:bottom w:val="single" w:color="000000" w:sz="4" w:space="0"/>
              <w:right w:val="single" w:color="000000" w:sz="4" w:space="0"/>
            </w:tcBorders>
            <w:noWrap w:val="0"/>
            <w:vAlign w:val="center"/>
          </w:tcPr>
          <w:p w14:paraId="4D2860A6">
            <w:pPr>
              <w:keepNext w:val="0"/>
              <w:keepLines w:val="0"/>
              <w:widowControl/>
              <w:suppressLineNumbers w:val="0"/>
              <w:spacing w:after="0" w:line="240" w:lineRule="auto"/>
              <w:jc w:val="center"/>
              <w:textAlignment w:val="center"/>
              <w:rPr>
                <w:rFonts w:hint="default" w:ascii="宋体" w:hAnsi="宋体" w:eastAsia="宋体" w:cs="宋体"/>
                <w:i w:val="0"/>
                <w:iCs w:val="0"/>
                <w:color w:val="000000"/>
                <w:kern w:val="2"/>
                <w:sz w:val="21"/>
                <w:szCs w:val="21"/>
                <w:u w:val="none"/>
                <w:lang w:val="en-US" w:eastAsia="zh-CN"/>
              </w:rPr>
            </w:pPr>
            <w:r>
              <w:rPr>
                <w:rFonts w:hint="eastAsia" w:ascii="宋体" w:hAnsi="宋体" w:eastAsia="宋体" w:cs="宋体"/>
                <w:i w:val="0"/>
                <w:iCs w:val="0"/>
                <w:color w:val="000000"/>
                <w:kern w:val="2"/>
                <w:sz w:val="21"/>
                <w:szCs w:val="21"/>
                <w:u w:val="none"/>
                <w:lang w:val="en-US" w:eastAsia="zh-CN"/>
              </w:rPr>
              <w:t>套</w:t>
            </w:r>
          </w:p>
        </w:tc>
        <w:tc>
          <w:tcPr>
            <w:tcW w:w="1243" w:type="dxa"/>
            <w:vMerge w:val="continue"/>
            <w:tcBorders>
              <w:top w:val="single" w:color="000000" w:sz="4" w:space="0"/>
              <w:left w:val="single" w:color="000000" w:sz="4" w:space="0"/>
              <w:bottom w:val="single" w:color="000000" w:sz="4" w:space="0"/>
            </w:tcBorders>
            <w:noWrap w:val="0"/>
            <w:vAlign w:val="center"/>
          </w:tcPr>
          <w:p w14:paraId="05A38DEF">
            <w:pPr>
              <w:spacing w:after="0" w:line="240" w:lineRule="auto"/>
              <w:jc w:val="center"/>
              <w:rPr>
                <w:rFonts w:hint="eastAsia" w:ascii="宋体" w:hAnsi="宋体" w:eastAsia="宋体" w:cs="宋体"/>
                <w:i w:val="0"/>
                <w:iCs w:val="0"/>
                <w:color w:val="000000"/>
                <w:kern w:val="2"/>
                <w:sz w:val="21"/>
                <w:szCs w:val="21"/>
                <w:u w:val="none"/>
                <w:lang w:eastAsia="zh-CN"/>
              </w:rPr>
            </w:pPr>
          </w:p>
        </w:tc>
      </w:tr>
    </w:tbl>
    <w:p w14:paraId="006A1841">
      <w:pPr>
        <w:keepNext w:val="0"/>
        <w:keepLines w:val="0"/>
        <w:pageBreakBefore w:val="0"/>
        <w:widowControl w:val="0"/>
        <w:numPr>
          <w:ilvl w:val="0"/>
          <w:numId w:val="0"/>
        </w:numPr>
        <w:kinsoku/>
        <w:wordWrap/>
        <w:overflowPunct/>
        <w:topLinePunct w:val="0"/>
        <w:autoSpaceDE/>
        <w:autoSpaceDN/>
        <w:bidi w:val="0"/>
        <w:snapToGrid w:val="0"/>
        <w:spacing w:after="0" w:line="360" w:lineRule="auto"/>
        <w:ind w:leftChars="200"/>
        <w:jc w:val="both"/>
        <w:textAlignment w:val="auto"/>
        <w:rPr>
          <w:rFonts w:hint="eastAsia" w:ascii="宋体" w:hAnsi="宋体" w:eastAsia="宋体" w:cs="宋体"/>
          <w:b/>
          <w:bCs/>
          <w:kern w:val="2"/>
          <w:sz w:val="24"/>
          <w:szCs w:val="24"/>
          <w:lang w:val="en-US" w:eastAsia="zh-CN" w:bidi="ar-SA"/>
        </w:rPr>
      </w:pPr>
    </w:p>
    <w:p w14:paraId="22FA989B">
      <w:pPr>
        <w:keepNext w:val="0"/>
        <w:keepLines w:val="0"/>
        <w:pageBreakBefore w:val="0"/>
        <w:widowControl w:val="0"/>
        <w:numPr>
          <w:ilvl w:val="0"/>
          <w:numId w:val="0"/>
        </w:numPr>
        <w:kinsoku/>
        <w:wordWrap/>
        <w:overflowPunct/>
        <w:topLinePunct w:val="0"/>
        <w:autoSpaceDE/>
        <w:autoSpaceDN/>
        <w:bidi w:val="0"/>
        <w:snapToGrid w:val="0"/>
        <w:spacing w:after="0" w:line="360" w:lineRule="auto"/>
        <w:ind w:leftChars="200"/>
        <w:jc w:val="both"/>
        <w:textAlignment w:val="auto"/>
        <w:rPr>
          <w:rFonts w:hint="eastAsia" w:ascii="宋体" w:hAnsi="宋体" w:eastAsia="宋体" w:cs="宋体"/>
          <w:b/>
          <w:bCs/>
          <w:kern w:val="2"/>
          <w:sz w:val="21"/>
          <w:szCs w:val="21"/>
          <w:lang w:val="en-US" w:eastAsia="zh-CN" w:bidi="ar-SA"/>
        </w:rPr>
      </w:pPr>
    </w:p>
    <w:p w14:paraId="4EDC4D93">
      <w:pPr>
        <w:bidi w:val="0"/>
        <w:rPr>
          <w:rFonts w:hint="eastAsia"/>
          <w:sz w:val="21"/>
          <w:szCs w:val="21"/>
          <w:lang w:val="en-US" w:eastAsia="zh-CN"/>
        </w:rPr>
      </w:pPr>
    </w:p>
    <w:p w14:paraId="07167948">
      <w:pPr>
        <w:keepNext w:val="0"/>
        <w:keepLines w:val="0"/>
        <w:pageBreakBefore w:val="0"/>
        <w:widowControl w:val="0"/>
        <w:numPr>
          <w:ilvl w:val="0"/>
          <w:numId w:val="1"/>
        </w:numPr>
        <w:kinsoku/>
        <w:wordWrap/>
        <w:overflowPunct/>
        <w:topLinePunct w:val="0"/>
        <w:autoSpaceDE/>
        <w:autoSpaceDN/>
        <w:bidi w:val="0"/>
        <w:snapToGrid w:val="0"/>
        <w:spacing w:after="0" w:line="360" w:lineRule="auto"/>
        <w:ind w:left="0" w:firstLine="422" w:firstLineChars="200"/>
        <w:jc w:val="both"/>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笼式场地围网系统</w:t>
      </w:r>
    </w:p>
    <w:p w14:paraId="358A4B9C">
      <w:pPr>
        <w:keepNext w:val="0"/>
        <w:keepLines w:val="0"/>
        <w:pageBreakBefore w:val="0"/>
        <w:widowControl/>
        <w:numPr>
          <w:ilvl w:val="0"/>
          <w:numId w:val="2"/>
        </w:numPr>
        <w:kinsoku/>
        <w:wordWrap/>
        <w:overflowPunct/>
        <w:topLinePunct w:val="0"/>
        <w:autoSpaceDE/>
        <w:autoSpaceDN/>
        <w:bidi w:val="0"/>
        <w:adjustRightInd w:val="0"/>
        <w:snapToGrid w:val="0"/>
        <w:spacing w:after="0" w:line="360" w:lineRule="auto"/>
        <w:ind w:left="150" w:leftChars="0" w:firstLine="480" w:firstLineChars="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场地尺寸：不小于长32米、宽19米。合理配置2个出入门。（使用方场地基础硬化尺寸：长33米，宽20米）</w:t>
      </w:r>
    </w:p>
    <w:p w14:paraId="6EE96B1E">
      <w:pPr>
        <w:keepNext w:val="0"/>
        <w:keepLines w:val="0"/>
        <w:pageBreakBefore w:val="0"/>
        <w:widowControl/>
        <w:numPr>
          <w:ilvl w:val="0"/>
          <w:numId w:val="2"/>
        </w:numPr>
        <w:kinsoku/>
        <w:wordWrap/>
        <w:overflowPunct/>
        <w:topLinePunct w:val="0"/>
        <w:autoSpaceDE/>
        <w:autoSpaceDN/>
        <w:bidi w:val="0"/>
        <w:adjustRightInd w:val="0"/>
        <w:snapToGrid w:val="0"/>
        <w:spacing w:after="0" w:line="360" w:lineRule="auto"/>
        <w:ind w:left="150" w:leftChars="0" w:firstLine="480" w:firstLineChars="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框架：围网立柱采用不小于φ76mm，管壁厚度为不小于3mm的优质钢管，围网采用模块拼接式，网丝不外露，单个网片规格不大于3000(长)mm×2000（高）mm，围网总高度不小于4米，立柱选用不少于28个独立地埋固定方式，立柱间隔不大于3米，所有管材表面须经过静电粉末喷塑，颜色为墨绿色．立柱埋入地下深度应不小于400mm，地基尺寸应不小于400×400×400mm（深）。</w:t>
      </w:r>
    </w:p>
    <w:p w14:paraId="0F433FE5">
      <w:pPr>
        <w:keepNext w:val="0"/>
        <w:keepLines w:val="0"/>
        <w:pageBreakBefore w:val="0"/>
        <w:widowControl/>
        <w:numPr>
          <w:ilvl w:val="0"/>
          <w:numId w:val="2"/>
        </w:numPr>
        <w:kinsoku/>
        <w:wordWrap/>
        <w:overflowPunct/>
        <w:topLinePunct w:val="0"/>
        <w:autoSpaceDE/>
        <w:autoSpaceDN/>
        <w:bidi w:val="0"/>
        <w:adjustRightInd w:val="0"/>
        <w:snapToGrid w:val="0"/>
        <w:spacing w:after="0" w:line="360" w:lineRule="auto"/>
        <w:ind w:left="150" w:leftChars="0" w:firstLine="480" w:firstLineChars="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围网带有两个不小于1.4米宽、1.9米高的单开式框架进出口，与围网模块结构一致。围网全部采用防盗镀锌或不锈钢螺栓，并采用防松螺母防松方式，保证连接长期可靠。立柱与连接横管采用固态粉静电喷涂工艺，颜色为墨绿色，色泽保持八年不变，围网风载荷标准值应不小于0.35kn/㎡。</w:t>
      </w:r>
    </w:p>
    <w:p w14:paraId="4DFE1480">
      <w:pPr>
        <w:keepNext w:val="0"/>
        <w:keepLines w:val="0"/>
        <w:pageBreakBefore w:val="0"/>
        <w:widowControl/>
        <w:numPr>
          <w:ilvl w:val="0"/>
          <w:numId w:val="2"/>
        </w:numPr>
        <w:kinsoku/>
        <w:wordWrap/>
        <w:overflowPunct/>
        <w:topLinePunct w:val="0"/>
        <w:autoSpaceDE/>
        <w:autoSpaceDN/>
        <w:bidi w:val="0"/>
        <w:adjustRightInd w:val="0"/>
        <w:snapToGrid w:val="0"/>
        <w:spacing w:after="0" w:line="360" w:lineRule="auto"/>
        <w:ind w:left="150" w:leftChars="0" w:firstLine="480" w:firstLineChars="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网丝:包塑网片丝浸塑处理后网片径不小于Ф4mm, 采用优质低碳镀锌铁丝，处理前丝径不小于Ф3mm，网孔50×50 mm，勾花网，颜色为墨绿色，表面光滑细腻，各项性能指标达到GB15065-94和IE60502标准，吸水率为0%。围网孔径应与运动功能相适应，具有防止球脱出的功能。</w:t>
      </w:r>
    </w:p>
    <w:p w14:paraId="79CB5DBE">
      <w:pPr>
        <w:keepNext w:val="0"/>
        <w:keepLines w:val="0"/>
        <w:pageBreakBefore w:val="0"/>
        <w:widowControl/>
        <w:numPr>
          <w:ilvl w:val="0"/>
          <w:numId w:val="2"/>
        </w:numPr>
        <w:kinsoku/>
        <w:wordWrap/>
        <w:overflowPunct/>
        <w:topLinePunct w:val="0"/>
        <w:autoSpaceDE/>
        <w:autoSpaceDN/>
        <w:bidi w:val="0"/>
        <w:adjustRightInd w:val="0"/>
        <w:snapToGrid w:val="0"/>
        <w:spacing w:after="0" w:line="360" w:lineRule="auto"/>
        <w:ind w:left="150" w:leftChars="0" w:firstLine="480" w:firstLineChars="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配套灯光系统：灯柱为围网的一部分，在整场围网中亦为围网的主立柱，增强围网的稳定性，灯柱采用直径不小于Ф114×3.0mm的钢管，6米高低杆照明灯柱8根，每根1盏不小于30W LED灯，使用太阳能供电模式，采用锂电池或胶体蓄电池，充电后应能满足24 小时保障场地照明正常使用。太阳能板到蓄电池的连线及蓄电池要密封,不得暴露在外。灯柱安全使用寿命不低于8 年;其中作为易损部件的电子部件及供电系统使用寿命应不小于2 年。灯柱采用直埋方式，深度不小于600mm。</w:t>
      </w:r>
    </w:p>
    <w:p w14:paraId="6F13808B">
      <w:pPr>
        <w:keepNext w:val="0"/>
        <w:keepLines w:val="0"/>
        <w:pageBreakBefore w:val="0"/>
        <w:widowControl/>
        <w:numPr>
          <w:ilvl w:val="0"/>
          <w:numId w:val="2"/>
        </w:numPr>
        <w:kinsoku/>
        <w:wordWrap/>
        <w:overflowPunct/>
        <w:topLinePunct w:val="0"/>
        <w:autoSpaceDE/>
        <w:autoSpaceDN/>
        <w:bidi w:val="0"/>
        <w:adjustRightInd w:val="0"/>
        <w:snapToGrid w:val="0"/>
        <w:spacing w:after="0" w:line="360" w:lineRule="auto"/>
        <w:ind w:left="150" w:leftChars="0" w:firstLine="480" w:firstLineChars="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宣传标示牌：应牢固固定于进出口区域，面板采用不锈钢材质，耐蚀性能相当于0Cr18Ni9（SUS304），尺寸不小于800×500mm，厚度不小于0.8mm，面板边缘及尖角不得翘起，图样及字样蚀刻处理；内容至少包含以下内容：须有郑州航空港经济综合实验区教育卫生体育局监制；产品名称；简明的科学健身提示，产品使用安全注意事项；产品供应商的全称，售后服务电话及督查电话；管理维护单位及联系电话。</w:t>
      </w:r>
    </w:p>
    <w:p w14:paraId="30F22B1D">
      <w:pPr>
        <w:keepNext w:val="0"/>
        <w:keepLines w:val="0"/>
        <w:pageBreakBefore w:val="0"/>
        <w:widowControl/>
        <w:numPr>
          <w:ilvl w:val="0"/>
          <w:numId w:val="2"/>
        </w:numPr>
        <w:kinsoku/>
        <w:wordWrap/>
        <w:overflowPunct/>
        <w:topLinePunct w:val="0"/>
        <w:autoSpaceDE/>
        <w:autoSpaceDN/>
        <w:bidi w:val="0"/>
        <w:adjustRightInd w:val="0"/>
        <w:snapToGrid w:val="0"/>
        <w:spacing w:after="0" w:line="360" w:lineRule="auto"/>
        <w:ind w:left="150" w:leftChars="0" w:firstLine="480" w:firstLineChars="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投标产品需取得国家认证认可监督管理委员会批准的第三方认证机构颁发的认证证书和确认函。</w:t>
      </w:r>
    </w:p>
    <w:p w14:paraId="6AD3AA6A">
      <w:pPr>
        <w:keepNext w:val="0"/>
        <w:keepLines w:val="0"/>
        <w:pageBreakBefore w:val="0"/>
        <w:widowControl w:val="0"/>
        <w:numPr>
          <w:ilvl w:val="0"/>
          <w:numId w:val="1"/>
        </w:numPr>
        <w:kinsoku/>
        <w:wordWrap/>
        <w:overflowPunct/>
        <w:topLinePunct w:val="0"/>
        <w:autoSpaceDE/>
        <w:autoSpaceDN/>
        <w:bidi w:val="0"/>
        <w:snapToGrid w:val="0"/>
        <w:spacing w:after="0" w:line="360" w:lineRule="auto"/>
        <w:ind w:left="0" w:firstLine="422" w:firstLineChars="200"/>
        <w:jc w:val="both"/>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悬浮式拼装地板</w:t>
      </w:r>
    </w:p>
    <w:p w14:paraId="1BBBF55E">
      <w:pPr>
        <w:keepNext w:val="0"/>
        <w:keepLines w:val="0"/>
        <w:pageBreakBefore w:val="0"/>
        <w:widowControl/>
        <w:numPr>
          <w:ilvl w:val="0"/>
          <w:numId w:val="3"/>
        </w:numPr>
        <w:kinsoku/>
        <w:wordWrap/>
        <w:overflowPunct/>
        <w:topLinePunct w:val="0"/>
        <w:autoSpaceDE/>
        <w:autoSpaceDN/>
        <w:bidi w:val="0"/>
        <w:adjustRightInd w:val="0"/>
        <w:snapToGrid w:val="0"/>
        <w:spacing w:after="0" w:line="360" w:lineRule="auto"/>
        <w:ind w:left="0" w:firstLine="420" w:firstLineChars="20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悬浮式拼装地板表面为米字型网格，产品须采用高性能（PP）环保材料，无毒、无味、防水耐湿、抗紫外线辐射、抗氧化、抗寒、不寄生细菌、绿色环保，安全卫生；</w:t>
      </w:r>
    </w:p>
    <w:p w14:paraId="0AF33D54">
      <w:pPr>
        <w:keepNext w:val="0"/>
        <w:keepLines w:val="0"/>
        <w:pageBreakBefore w:val="0"/>
        <w:widowControl/>
        <w:numPr>
          <w:ilvl w:val="0"/>
          <w:numId w:val="3"/>
        </w:numPr>
        <w:kinsoku/>
        <w:wordWrap/>
        <w:overflowPunct/>
        <w:topLinePunct w:val="0"/>
        <w:autoSpaceDE/>
        <w:autoSpaceDN/>
        <w:bidi w:val="0"/>
        <w:adjustRightInd w:val="0"/>
        <w:snapToGrid w:val="0"/>
        <w:spacing w:after="0" w:line="360" w:lineRule="auto"/>
        <w:ind w:left="0" w:firstLine="420" w:firstLineChars="20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产品规格不小于25×25cm，厚度不小于1.27cm，单块场地面积不小于608平方米；</w:t>
      </w:r>
    </w:p>
    <w:p w14:paraId="6C95B44B">
      <w:pPr>
        <w:keepNext w:val="0"/>
        <w:keepLines w:val="0"/>
        <w:pageBreakBefore w:val="0"/>
        <w:widowControl/>
        <w:numPr>
          <w:ilvl w:val="0"/>
          <w:numId w:val="3"/>
        </w:numPr>
        <w:kinsoku/>
        <w:wordWrap/>
        <w:overflowPunct/>
        <w:topLinePunct w:val="0"/>
        <w:autoSpaceDE/>
        <w:autoSpaceDN/>
        <w:bidi w:val="0"/>
        <w:adjustRightInd w:val="0"/>
        <w:snapToGrid w:val="0"/>
        <w:spacing w:after="0" w:line="360" w:lineRule="auto"/>
        <w:ind w:left="0" w:firstLine="420" w:firstLineChars="20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球反弹率不小于95%；抗滑值（干测）80-110；低温实验（-50℃，24h），试验后无龟裂、无明显色差；高温实验（100℃，24h），试验后无融化、无龟裂、无明显色差；</w:t>
      </w:r>
    </w:p>
    <w:p w14:paraId="42E49A10">
      <w:pPr>
        <w:keepNext w:val="0"/>
        <w:keepLines w:val="0"/>
        <w:pageBreakBefore w:val="0"/>
        <w:widowControl/>
        <w:numPr>
          <w:ilvl w:val="0"/>
          <w:numId w:val="3"/>
        </w:numPr>
        <w:kinsoku/>
        <w:wordWrap/>
        <w:overflowPunct/>
        <w:topLinePunct w:val="0"/>
        <w:autoSpaceDE/>
        <w:autoSpaceDN/>
        <w:bidi w:val="0"/>
        <w:adjustRightInd w:val="0"/>
        <w:snapToGrid w:val="0"/>
        <w:spacing w:after="0" w:line="360" w:lineRule="auto"/>
        <w:ind w:left="0" w:firstLine="420" w:firstLineChars="20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连接方式：锁扣式结构；</w:t>
      </w:r>
    </w:p>
    <w:p w14:paraId="3229838B">
      <w:pPr>
        <w:keepNext w:val="0"/>
        <w:keepLines w:val="0"/>
        <w:pageBreakBefore w:val="0"/>
        <w:widowControl/>
        <w:numPr>
          <w:ilvl w:val="0"/>
          <w:numId w:val="3"/>
        </w:numPr>
        <w:kinsoku/>
        <w:wordWrap/>
        <w:overflowPunct/>
        <w:topLinePunct w:val="0"/>
        <w:autoSpaceDE/>
        <w:autoSpaceDN/>
        <w:bidi w:val="0"/>
        <w:adjustRightInd w:val="0"/>
        <w:snapToGrid w:val="0"/>
        <w:spacing w:after="0" w:line="360" w:lineRule="auto"/>
        <w:ind w:left="0" w:firstLine="420" w:firstLineChars="20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投标产品通过国家体育用品质量监督检验中心检测，各项运动指标满足篮球、五人制足球、羽毛球等各项运动技术要求。</w:t>
      </w:r>
    </w:p>
    <w:p w14:paraId="1CA1ED3F">
      <w:pPr>
        <w:keepNext w:val="0"/>
        <w:keepLines w:val="0"/>
        <w:pageBreakBefore w:val="0"/>
        <w:widowControl w:val="0"/>
        <w:numPr>
          <w:ilvl w:val="0"/>
          <w:numId w:val="1"/>
        </w:numPr>
        <w:kinsoku/>
        <w:wordWrap/>
        <w:overflowPunct/>
        <w:topLinePunct w:val="0"/>
        <w:autoSpaceDE/>
        <w:autoSpaceDN/>
        <w:bidi w:val="0"/>
        <w:snapToGrid w:val="0"/>
        <w:spacing w:after="0" w:line="360" w:lineRule="auto"/>
        <w:ind w:left="0" w:firstLine="422" w:firstLineChars="200"/>
        <w:jc w:val="both"/>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一体式篮球架足球门</w:t>
      </w:r>
    </w:p>
    <w:p w14:paraId="5EF0931C">
      <w:pPr>
        <w:keepNext w:val="0"/>
        <w:keepLines w:val="0"/>
        <w:pageBreakBefore w:val="0"/>
        <w:widowControl/>
        <w:numPr>
          <w:ilvl w:val="0"/>
          <w:numId w:val="4"/>
        </w:numPr>
        <w:kinsoku/>
        <w:wordWrap/>
        <w:overflowPunct/>
        <w:topLinePunct w:val="0"/>
        <w:autoSpaceDE/>
        <w:autoSpaceDN/>
        <w:bidi w:val="0"/>
        <w:adjustRightInd w:val="0"/>
        <w:snapToGrid w:val="0"/>
        <w:spacing w:after="0" w:line="360" w:lineRule="auto"/>
        <w:ind w:left="0" w:firstLine="420" w:firstLineChars="20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主要承载立柱尺寸：不小于Φ89mm×3mm；</w:t>
      </w:r>
    </w:p>
    <w:p w14:paraId="4C6EAC8B">
      <w:pPr>
        <w:keepNext w:val="0"/>
        <w:keepLines w:val="0"/>
        <w:pageBreakBefore w:val="0"/>
        <w:widowControl/>
        <w:numPr>
          <w:ilvl w:val="0"/>
          <w:numId w:val="4"/>
        </w:numPr>
        <w:kinsoku/>
        <w:wordWrap/>
        <w:overflowPunct/>
        <w:topLinePunct w:val="0"/>
        <w:autoSpaceDE/>
        <w:autoSpaceDN/>
        <w:bidi w:val="0"/>
        <w:adjustRightInd w:val="0"/>
        <w:snapToGrid w:val="0"/>
        <w:spacing w:after="0" w:line="360" w:lineRule="auto"/>
        <w:ind w:left="0" w:firstLine="420" w:firstLineChars="20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篮板应选用GB19272-2011中5.12.1.3.2规定的1800mm×1050mm的矩形篮板（材质为SMC），篮板面板厚度5mm，翻边宽度50mm，翻边厚度7.8mm，背面用“井”字形加强筋，加强筋厚度不低于5mm；</w:t>
      </w:r>
    </w:p>
    <w:p w14:paraId="5CD0CDE5">
      <w:pPr>
        <w:keepNext w:val="0"/>
        <w:keepLines w:val="0"/>
        <w:pageBreakBefore w:val="0"/>
        <w:widowControl/>
        <w:numPr>
          <w:ilvl w:val="0"/>
          <w:numId w:val="4"/>
        </w:numPr>
        <w:kinsoku/>
        <w:wordWrap/>
        <w:overflowPunct/>
        <w:topLinePunct w:val="0"/>
        <w:autoSpaceDE/>
        <w:autoSpaceDN/>
        <w:bidi w:val="0"/>
        <w:adjustRightInd w:val="0"/>
        <w:snapToGrid w:val="0"/>
        <w:spacing w:after="0" w:line="360" w:lineRule="auto"/>
        <w:ind w:left="0" w:firstLine="420" w:firstLineChars="20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篮板的质量应满足GB19272-2011中5.12.1.3.3条至5.12.1.3.6条的要求；矩形篮板背部连接有不少于5点的连接安装位置，且安装位置尺寸符合GB9272-2011中图21a）的要求；</w:t>
      </w:r>
    </w:p>
    <w:p w14:paraId="3CB5C5B5">
      <w:pPr>
        <w:keepNext w:val="0"/>
        <w:keepLines w:val="0"/>
        <w:pageBreakBefore w:val="0"/>
        <w:widowControl/>
        <w:numPr>
          <w:ilvl w:val="0"/>
          <w:numId w:val="4"/>
        </w:numPr>
        <w:kinsoku/>
        <w:wordWrap/>
        <w:overflowPunct/>
        <w:topLinePunct w:val="0"/>
        <w:autoSpaceDE/>
        <w:autoSpaceDN/>
        <w:bidi w:val="0"/>
        <w:adjustRightInd w:val="0"/>
        <w:snapToGrid w:val="0"/>
        <w:spacing w:after="0" w:line="360" w:lineRule="auto"/>
        <w:ind w:left="0" w:firstLine="420" w:firstLineChars="20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篮圈：采用实心钢材制成，篮圈圈条直径为16-20 mm，篮圈内径为450-459 mm；篮圈下沿有12个均匀分布篮网装置，装置无锐边、毛刺，且装置间隙不大于8 mm；采用弹簧篮圈，篮圈在去除压力后可自动返回原位置；</w:t>
      </w:r>
    </w:p>
    <w:p w14:paraId="161A2D66">
      <w:pPr>
        <w:keepNext w:val="0"/>
        <w:keepLines w:val="0"/>
        <w:pageBreakBefore w:val="0"/>
        <w:widowControl/>
        <w:numPr>
          <w:ilvl w:val="0"/>
          <w:numId w:val="4"/>
        </w:numPr>
        <w:kinsoku/>
        <w:wordWrap/>
        <w:overflowPunct/>
        <w:topLinePunct w:val="0"/>
        <w:autoSpaceDE/>
        <w:autoSpaceDN/>
        <w:bidi w:val="0"/>
        <w:adjustRightInd w:val="0"/>
        <w:snapToGrid w:val="0"/>
        <w:spacing w:after="0" w:line="360" w:lineRule="auto"/>
        <w:ind w:left="0" w:firstLine="420" w:firstLineChars="20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篮板支撑：篮架上、下拉杆采用不小于Φ48×2mm优质钢管在弯管机上一次成型；通过调节上下拉杆可调节篮板的平面度和垂直度；</w:t>
      </w:r>
    </w:p>
    <w:p w14:paraId="4961ADC7">
      <w:pPr>
        <w:keepNext w:val="0"/>
        <w:keepLines w:val="0"/>
        <w:pageBreakBefore w:val="0"/>
        <w:widowControl/>
        <w:numPr>
          <w:ilvl w:val="0"/>
          <w:numId w:val="4"/>
        </w:numPr>
        <w:kinsoku/>
        <w:wordWrap/>
        <w:overflowPunct/>
        <w:topLinePunct w:val="0"/>
        <w:autoSpaceDE/>
        <w:autoSpaceDN/>
        <w:bidi w:val="0"/>
        <w:adjustRightInd w:val="0"/>
        <w:snapToGrid w:val="0"/>
        <w:spacing w:after="0" w:line="360" w:lineRule="auto"/>
        <w:ind w:left="0" w:firstLine="420" w:firstLineChars="20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安装技术参数：篮圈上沿距地面高度3050mm，悬臂长度不低于1800mm；</w:t>
      </w:r>
    </w:p>
    <w:p w14:paraId="43652120">
      <w:pPr>
        <w:keepNext w:val="0"/>
        <w:keepLines w:val="0"/>
        <w:pageBreakBefore w:val="0"/>
        <w:widowControl/>
        <w:numPr>
          <w:ilvl w:val="0"/>
          <w:numId w:val="4"/>
        </w:numPr>
        <w:kinsoku/>
        <w:wordWrap/>
        <w:overflowPunct/>
        <w:topLinePunct w:val="0"/>
        <w:autoSpaceDE/>
        <w:autoSpaceDN/>
        <w:bidi w:val="0"/>
        <w:adjustRightInd w:val="0"/>
        <w:snapToGrid w:val="0"/>
        <w:spacing w:after="0" w:line="360" w:lineRule="auto"/>
        <w:ind w:left="0" w:firstLine="420" w:firstLineChars="20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足球网采用涤纶材料，符合GB/T 19851.14标准要求，足球门尺寸不小于3米×2米×1.5米，满足5人制足球的使用需要；</w:t>
      </w:r>
    </w:p>
    <w:p w14:paraId="734E7D8B">
      <w:pPr>
        <w:keepNext w:val="0"/>
        <w:keepLines w:val="0"/>
        <w:pageBreakBefore w:val="0"/>
        <w:widowControl/>
        <w:numPr>
          <w:ilvl w:val="0"/>
          <w:numId w:val="4"/>
        </w:numPr>
        <w:kinsoku/>
        <w:wordWrap/>
        <w:overflowPunct/>
        <w:topLinePunct w:val="0"/>
        <w:autoSpaceDE/>
        <w:autoSpaceDN/>
        <w:bidi w:val="0"/>
        <w:adjustRightInd w:val="0"/>
        <w:snapToGrid w:val="0"/>
        <w:spacing w:after="0" w:line="360" w:lineRule="auto"/>
        <w:ind w:left="0" w:firstLine="420" w:firstLineChars="20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所有金属件焊后抛丸，静电喷涂，要求喷涂表面均匀全覆盖，结合牢固，不起皮脱落、漏涂、锈蚀、裂痕以及较明显的流痕、花斑、结点等缺陷，涂层厚度不小于70µm；各部件焊接牢固，无漏焊、虚焊、夹渣、裂纹等缺陷；</w:t>
      </w:r>
    </w:p>
    <w:p w14:paraId="629D79C2">
      <w:pPr>
        <w:keepNext w:val="0"/>
        <w:keepLines w:val="0"/>
        <w:pageBreakBefore w:val="0"/>
        <w:widowControl/>
        <w:numPr>
          <w:ilvl w:val="0"/>
          <w:numId w:val="4"/>
        </w:numPr>
        <w:kinsoku/>
        <w:wordWrap/>
        <w:overflowPunct/>
        <w:topLinePunct w:val="0"/>
        <w:autoSpaceDE/>
        <w:autoSpaceDN/>
        <w:bidi w:val="0"/>
        <w:adjustRightInd w:val="0"/>
        <w:snapToGrid w:val="0"/>
        <w:spacing w:after="0" w:line="360" w:lineRule="auto"/>
        <w:ind w:left="0" w:firstLine="420" w:firstLineChars="20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各连接部位采用螺栓、螺钉紧固，防松、防盗、防锈；</w:t>
      </w:r>
    </w:p>
    <w:p w14:paraId="53314B57">
      <w:pPr>
        <w:keepNext w:val="0"/>
        <w:keepLines w:val="0"/>
        <w:pageBreakBefore w:val="0"/>
        <w:widowControl/>
        <w:numPr>
          <w:ilvl w:val="0"/>
          <w:numId w:val="4"/>
        </w:numPr>
        <w:kinsoku/>
        <w:wordWrap/>
        <w:overflowPunct/>
        <w:topLinePunct w:val="0"/>
        <w:autoSpaceDE/>
        <w:autoSpaceDN/>
        <w:bidi w:val="0"/>
        <w:adjustRightInd w:val="0"/>
        <w:snapToGrid w:val="0"/>
        <w:spacing w:after="0" w:line="360" w:lineRule="auto"/>
        <w:ind w:left="0" w:firstLine="420" w:firstLineChars="20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采用直埋安装方式，安全可靠，地基尺寸不小于400×400×700mm；</w:t>
      </w:r>
    </w:p>
    <w:p w14:paraId="40B8C693">
      <w:r>
        <w:rPr>
          <w:rFonts w:hint="eastAsia" w:ascii="宋体" w:hAnsi="宋体" w:eastAsia="宋体" w:cs="宋体"/>
          <w:kern w:val="2"/>
          <w:sz w:val="21"/>
          <w:szCs w:val="21"/>
          <w:lang w:eastAsia="zh-CN"/>
        </w:rPr>
        <w:t>投标产品需取得国家认证认可监督管理委员会批准的第三方认证机构颁发的认证证书和确认函。</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97128D"/>
    <w:multiLevelType w:val="multilevel"/>
    <w:tmpl w:val="1197128D"/>
    <w:lvl w:ilvl="0" w:tentative="0">
      <w:start w:val="1"/>
      <w:numFmt w:val="decimal"/>
      <w:lvlText w:val="%1)"/>
      <w:lvlJc w:val="left"/>
      <w:pPr>
        <w:ind w:left="879" w:hanging="420"/>
      </w:pPr>
    </w:lvl>
    <w:lvl w:ilvl="1" w:tentative="0">
      <w:start w:val="1"/>
      <w:numFmt w:val="lowerLetter"/>
      <w:lvlText w:val="%2)"/>
      <w:lvlJc w:val="left"/>
      <w:pPr>
        <w:ind w:left="1149" w:hanging="420"/>
      </w:pPr>
    </w:lvl>
    <w:lvl w:ilvl="2" w:tentative="0">
      <w:start w:val="1"/>
      <w:numFmt w:val="lowerRoman"/>
      <w:lvlText w:val="%3."/>
      <w:lvlJc w:val="right"/>
      <w:pPr>
        <w:ind w:left="1569" w:hanging="420"/>
      </w:pPr>
    </w:lvl>
    <w:lvl w:ilvl="3" w:tentative="0">
      <w:start w:val="1"/>
      <w:numFmt w:val="decimal"/>
      <w:lvlText w:val="%4."/>
      <w:lvlJc w:val="left"/>
      <w:pPr>
        <w:ind w:left="1989" w:hanging="420"/>
      </w:pPr>
    </w:lvl>
    <w:lvl w:ilvl="4" w:tentative="0">
      <w:start w:val="1"/>
      <w:numFmt w:val="lowerLetter"/>
      <w:lvlText w:val="%5)"/>
      <w:lvlJc w:val="left"/>
      <w:pPr>
        <w:ind w:left="2409" w:hanging="420"/>
      </w:pPr>
    </w:lvl>
    <w:lvl w:ilvl="5" w:tentative="0">
      <w:start w:val="1"/>
      <w:numFmt w:val="lowerRoman"/>
      <w:lvlText w:val="%6."/>
      <w:lvlJc w:val="right"/>
      <w:pPr>
        <w:ind w:left="2829" w:hanging="420"/>
      </w:pPr>
    </w:lvl>
    <w:lvl w:ilvl="6" w:tentative="0">
      <w:start w:val="1"/>
      <w:numFmt w:val="decimal"/>
      <w:lvlText w:val="%7."/>
      <w:lvlJc w:val="left"/>
      <w:pPr>
        <w:ind w:left="3249" w:hanging="420"/>
      </w:pPr>
    </w:lvl>
    <w:lvl w:ilvl="7" w:tentative="0">
      <w:start w:val="1"/>
      <w:numFmt w:val="lowerLetter"/>
      <w:lvlText w:val="%8)"/>
      <w:lvlJc w:val="left"/>
      <w:pPr>
        <w:ind w:left="3669" w:hanging="420"/>
      </w:pPr>
    </w:lvl>
    <w:lvl w:ilvl="8" w:tentative="0">
      <w:start w:val="1"/>
      <w:numFmt w:val="lowerRoman"/>
      <w:lvlText w:val="%9."/>
      <w:lvlJc w:val="right"/>
      <w:pPr>
        <w:ind w:left="4089" w:hanging="420"/>
      </w:pPr>
    </w:lvl>
  </w:abstractNum>
  <w:abstractNum w:abstractNumId="1">
    <w:nsid w:val="250B3EBC"/>
    <w:multiLevelType w:val="multilevel"/>
    <w:tmpl w:val="250B3EBC"/>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38772CB"/>
    <w:multiLevelType w:val="multilevel"/>
    <w:tmpl w:val="338772CB"/>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
    <w:nsid w:val="3E3F3F62"/>
    <w:multiLevelType w:val="multilevel"/>
    <w:tmpl w:val="3E3F3F62"/>
    <w:lvl w:ilvl="0" w:tentative="0">
      <w:start w:val="1"/>
      <w:numFmt w:val="decimal"/>
      <w:lvlText w:val="%1)"/>
      <w:lvlJc w:val="left"/>
      <w:pPr>
        <w:ind w:left="729" w:hanging="420"/>
      </w:pPr>
    </w:lvl>
    <w:lvl w:ilvl="1" w:tentative="0">
      <w:start w:val="1"/>
      <w:numFmt w:val="lowerLetter"/>
      <w:lvlText w:val="%2)"/>
      <w:lvlJc w:val="left"/>
      <w:pPr>
        <w:ind w:left="1149" w:hanging="420"/>
      </w:pPr>
    </w:lvl>
    <w:lvl w:ilvl="2" w:tentative="0">
      <w:start w:val="1"/>
      <w:numFmt w:val="lowerRoman"/>
      <w:lvlText w:val="%3."/>
      <w:lvlJc w:val="right"/>
      <w:pPr>
        <w:ind w:left="1569" w:hanging="420"/>
      </w:pPr>
    </w:lvl>
    <w:lvl w:ilvl="3" w:tentative="0">
      <w:start w:val="1"/>
      <w:numFmt w:val="decimal"/>
      <w:lvlText w:val="%4."/>
      <w:lvlJc w:val="left"/>
      <w:pPr>
        <w:ind w:left="1989" w:hanging="420"/>
      </w:pPr>
    </w:lvl>
    <w:lvl w:ilvl="4" w:tentative="0">
      <w:start w:val="1"/>
      <w:numFmt w:val="lowerLetter"/>
      <w:lvlText w:val="%5)"/>
      <w:lvlJc w:val="left"/>
      <w:pPr>
        <w:ind w:left="2409" w:hanging="420"/>
      </w:pPr>
    </w:lvl>
    <w:lvl w:ilvl="5" w:tentative="0">
      <w:start w:val="1"/>
      <w:numFmt w:val="lowerRoman"/>
      <w:lvlText w:val="%6."/>
      <w:lvlJc w:val="right"/>
      <w:pPr>
        <w:ind w:left="2829" w:hanging="420"/>
      </w:pPr>
    </w:lvl>
    <w:lvl w:ilvl="6" w:tentative="0">
      <w:start w:val="1"/>
      <w:numFmt w:val="decimal"/>
      <w:lvlText w:val="%7."/>
      <w:lvlJc w:val="left"/>
      <w:pPr>
        <w:ind w:left="3249" w:hanging="420"/>
      </w:pPr>
    </w:lvl>
    <w:lvl w:ilvl="7" w:tentative="0">
      <w:start w:val="1"/>
      <w:numFmt w:val="lowerLetter"/>
      <w:lvlText w:val="%8)"/>
      <w:lvlJc w:val="left"/>
      <w:pPr>
        <w:ind w:left="3669" w:hanging="420"/>
      </w:pPr>
    </w:lvl>
    <w:lvl w:ilvl="8" w:tentative="0">
      <w:start w:val="1"/>
      <w:numFmt w:val="lowerRoman"/>
      <w:lvlText w:val="%9."/>
      <w:lvlJc w:val="right"/>
      <w:pPr>
        <w:ind w:left="4089"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EA67A2"/>
    <w:rsid w:val="06314D1E"/>
    <w:rsid w:val="3E355072"/>
    <w:rsid w:val="3E831D63"/>
    <w:rsid w:val="3FC670AB"/>
    <w:rsid w:val="42EA67A2"/>
    <w:rsid w:val="4A3411EA"/>
    <w:rsid w:val="4ED47BEB"/>
    <w:rsid w:val="5BB11EDB"/>
    <w:rsid w:val="65381A47"/>
    <w:rsid w:val="796E28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wordWrap w:val="0"/>
      <w:topLinePunct/>
      <w:jc w:val="both"/>
    </w:pPr>
    <w:rPr>
      <w:rFonts w:ascii="宋体" w:hAnsi="宋体" w:eastAsia="宋体" w:cs="宋体"/>
      <w:kern w:val="2"/>
      <w:sz w:val="21"/>
      <w:szCs w:val="21"/>
      <w:lang w:val="en-US" w:eastAsia="zh-CN" w:bidi="ar-SA"/>
    </w:rPr>
  </w:style>
  <w:style w:type="paragraph" w:styleId="3">
    <w:name w:val="heading 1"/>
    <w:basedOn w:val="1"/>
    <w:next w:val="1"/>
    <w:qFormat/>
    <w:uiPriority w:val="0"/>
    <w:pPr>
      <w:keepNext/>
      <w:keepLines/>
      <w:autoSpaceDE w:val="0"/>
      <w:autoSpaceDN w:val="0"/>
      <w:spacing w:before="340" w:beforeLines="0" w:beforeAutospacing="0" w:after="330" w:afterLines="0" w:afterAutospacing="0" w:line="240" w:lineRule="auto"/>
      <w:jc w:val="center"/>
      <w:outlineLvl w:val="0"/>
    </w:pPr>
    <w:rPr>
      <w:rFonts w:eastAsia="宋体" w:cs="Times New Roman" w:asciiTheme="minorAscii" w:hAnsiTheme="minorAscii"/>
      <w:b/>
      <w:kern w:val="44"/>
      <w:sz w:val="44"/>
      <w:szCs w:val="22"/>
    </w:rPr>
  </w:style>
  <w:style w:type="paragraph" w:styleId="2">
    <w:name w:val="heading 2"/>
    <w:basedOn w:val="1"/>
    <w:next w:val="1"/>
    <w:link w:val="8"/>
    <w:semiHidden/>
    <w:unhideWhenUsed/>
    <w:qFormat/>
    <w:uiPriority w:val="0"/>
    <w:pPr>
      <w:keepNext/>
      <w:keepLines/>
      <w:spacing w:line="360" w:lineRule="auto"/>
      <w:jc w:val="center"/>
      <w:outlineLvl w:val="1"/>
    </w:pPr>
    <w:rPr>
      <w:rFonts w:ascii="宋体" w:hAnsi="宋体" w:eastAsia="宋体" w:cs="宋体"/>
      <w:b/>
      <w:bCs/>
      <w:sz w:val="44"/>
      <w:szCs w:val="24"/>
      <w:highlight w:val="none"/>
      <w:shd w:val="clear" w:color="auto" w:fill="auto"/>
      <w:lang w:bidi="en-US"/>
    </w:rPr>
  </w:style>
  <w:style w:type="paragraph" w:styleId="4">
    <w:name w:val="heading 3"/>
    <w:basedOn w:val="1"/>
    <w:next w:val="1"/>
    <w:semiHidden/>
    <w:unhideWhenUsed/>
    <w:qFormat/>
    <w:uiPriority w:val="0"/>
    <w:pPr>
      <w:keepNext/>
      <w:keepLines/>
      <w:spacing w:before="260" w:beforeLines="0" w:beforeAutospacing="0" w:after="260" w:afterLines="0" w:afterAutospacing="0" w:line="413" w:lineRule="auto"/>
      <w:jc w:val="center"/>
      <w:outlineLvl w:val="2"/>
    </w:pPr>
    <w:rPr>
      <w:b/>
      <w:sz w:val="32"/>
    </w:rPr>
  </w:style>
  <w:style w:type="paragraph" w:styleId="5">
    <w:name w:val="heading 6"/>
    <w:basedOn w:val="1"/>
    <w:next w:val="1"/>
    <w:semiHidden/>
    <w:unhideWhenUsed/>
    <w:qFormat/>
    <w:uiPriority w:val="0"/>
    <w:pPr>
      <w:keepNext/>
      <w:keepLines/>
      <w:spacing w:before="240" w:beforeLines="0" w:beforeAutospacing="0" w:after="64" w:afterLines="0" w:afterAutospacing="0" w:line="317" w:lineRule="auto"/>
      <w:jc w:val="center"/>
      <w:outlineLvl w:val="5"/>
    </w:pPr>
    <w:rPr>
      <w:rFonts w:ascii="Arial" w:hAnsi="Arial" w:eastAsia="宋体" w:cs="Arial"/>
      <w:b/>
      <w:snapToGrid w:val="0"/>
      <w:color w:val="000000"/>
      <w:kern w:val="0"/>
      <w:sz w:val="24"/>
      <w:szCs w:val="21"/>
      <w:lang w:eastAsia="en-US"/>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character" w:customStyle="1" w:styleId="8">
    <w:name w:val="标题 2 Char"/>
    <w:link w:val="2"/>
    <w:qFormat/>
    <w:uiPriority w:val="0"/>
    <w:rPr>
      <w:rFonts w:ascii="宋体" w:hAnsi="宋体" w:eastAsia="宋体" w:cs="宋体"/>
      <w:b/>
      <w:bCs/>
      <w:kern w:val="2"/>
      <w:sz w:val="44"/>
      <w:szCs w:val="24"/>
      <w:highlight w:val="none"/>
      <w:shd w:val="clear" w:color="auto" w:fill="auto"/>
      <w:lang w:val="en-US" w:eastAsia="zh-CN" w:bidi="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2025-08-28T01:46:00Z</dcterms:created>
  <dc:creator>╰LY F╯</dc:creator>
  <cp:lastModifiedBy>╰LY F╯</cp:lastModifiedBy>
  <dcterms:modified xsi:type="dcterms:W3CDTF">2025-08-28T01:46:15Z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F0EF7F79BEF843FB969CA18529A898F4_11</vt:lpwstr>
  </property>
  <property fmtid="{D5CDD505-2E9C-101B-9397-08002B2CF9AE}" pid="4" name="KSOTemplateDocerSaveRecord">
    <vt:lpwstr>eyJoZGlkIjoiZGJmM2RmMmMyYjEwOWY0Mjc0ODI1NGZlNmNhMTU0OTciLCJ1c2VySWQiOiIyMzY3NTM3MjIifQ==</vt:lpwstr>
  </property>
</Properties>
</file>