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23DC">
      <w:pPr>
        <w:pStyle w:val="10"/>
        <w:spacing w:line="360" w:lineRule="auto"/>
        <w:ind w:firstLine="806"/>
        <w:jc w:val="center"/>
        <w:rPr>
          <w:rFonts w:ascii="宋体" w:hAnsi="宋体" w:cs="宋体"/>
          <w:b/>
          <w:spacing w:val="-8"/>
          <w:sz w:val="48"/>
          <w:szCs w:val="28"/>
          <w:highlight w:val="none"/>
        </w:rPr>
      </w:pPr>
    </w:p>
    <w:p w14:paraId="18BDF401">
      <w:pPr>
        <w:pStyle w:val="10"/>
        <w:spacing w:line="360" w:lineRule="auto"/>
        <w:ind w:firstLine="640"/>
        <w:jc w:val="center"/>
        <w:rPr>
          <w:rFonts w:hint="eastAsia" w:ascii="宋体" w:hAnsi="宋体" w:eastAsia="宋体" w:cs="宋体"/>
          <w:b/>
          <w:sz w:val="44"/>
          <w:highlight w:val="none"/>
          <w:lang w:eastAsia="zh-CN"/>
        </w:rPr>
      </w:pPr>
      <w:r>
        <w:rPr>
          <w:rFonts w:hint="eastAsia" w:ascii="宋体" w:hAnsi="宋体" w:cs="宋体"/>
          <w:b/>
          <w:spacing w:val="-8"/>
          <w:sz w:val="48"/>
          <w:szCs w:val="28"/>
          <w:highlight w:val="none"/>
          <w:lang w:eastAsia="zh-CN"/>
        </w:rPr>
        <w:t>河南省生态环境厅职工食堂承包服务项目</w:t>
      </w:r>
    </w:p>
    <w:p w14:paraId="4FF647C9">
      <w:pPr>
        <w:pStyle w:val="10"/>
        <w:spacing w:line="360" w:lineRule="auto"/>
        <w:ind w:firstLine="764"/>
        <w:rPr>
          <w:rFonts w:ascii="宋体" w:hAnsi="宋体" w:cs="宋体"/>
          <w:b/>
          <w:sz w:val="44"/>
          <w:highlight w:val="none"/>
        </w:rPr>
      </w:pPr>
    </w:p>
    <w:p w14:paraId="6C071684">
      <w:pPr>
        <w:pStyle w:val="10"/>
        <w:spacing w:line="360" w:lineRule="auto"/>
        <w:ind w:firstLine="764"/>
        <w:rPr>
          <w:rFonts w:ascii="宋体" w:hAnsi="宋体" w:cs="宋体"/>
          <w:b/>
          <w:sz w:val="44"/>
          <w:highlight w:val="none"/>
        </w:rPr>
      </w:pPr>
    </w:p>
    <w:p w14:paraId="5EF9039B">
      <w:pPr>
        <w:spacing w:before="303" w:line="360" w:lineRule="auto"/>
        <w:jc w:val="center"/>
        <w:rPr>
          <w:rFonts w:ascii="宋体" w:hAnsi="宋体" w:cs="宋体"/>
          <w:b/>
          <w:sz w:val="72"/>
          <w:highlight w:val="none"/>
        </w:rPr>
      </w:pPr>
      <w:r>
        <w:rPr>
          <w:rFonts w:hint="eastAsia" w:ascii="宋体" w:hAnsi="宋体" w:cs="宋体"/>
          <w:b/>
          <w:sz w:val="72"/>
          <w:highlight w:val="none"/>
        </w:rPr>
        <w:t>竞争性磋商文件</w:t>
      </w:r>
    </w:p>
    <w:p w14:paraId="748C7C20">
      <w:pPr>
        <w:spacing w:before="11" w:line="360" w:lineRule="auto"/>
        <w:jc w:val="left"/>
        <w:rPr>
          <w:rFonts w:ascii="宋体" w:hAnsi="宋体" w:cs="宋体"/>
          <w:b/>
          <w:sz w:val="24"/>
          <w:highlight w:val="none"/>
        </w:rPr>
      </w:pPr>
    </w:p>
    <w:p w14:paraId="61078027">
      <w:pPr>
        <w:spacing w:before="11" w:line="360" w:lineRule="auto"/>
        <w:ind w:firstLine="2249" w:firstLineChars="800"/>
        <w:jc w:val="left"/>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豫财磋商采购-2026-144</w:t>
      </w:r>
    </w:p>
    <w:p w14:paraId="1DD2F689">
      <w:pPr>
        <w:pStyle w:val="10"/>
        <w:spacing w:line="360" w:lineRule="auto"/>
        <w:ind w:firstLine="417"/>
        <w:rPr>
          <w:rFonts w:ascii="宋体" w:hAnsi="宋体" w:cs="宋体"/>
          <w:b/>
          <w:sz w:val="24"/>
          <w:highlight w:val="none"/>
        </w:rPr>
      </w:pPr>
    </w:p>
    <w:p w14:paraId="7DBB2532">
      <w:pPr>
        <w:spacing w:line="360" w:lineRule="auto"/>
        <w:ind w:left="1079" w:leftChars="257" w:hanging="539"/>
        <w:jc w:val="center"/>
        <w:rPr>
          <w:rFonts w:ascii="宋体" w:hAnsi="宋体" w:cs="宋体"/>
          <w:sz w:val="24"/>
          <w:highlight w:val="none"/>
        </w:rPr>
      </w:pPr>
    </w:p>
    <w:p w14:paraId="5E427ADF">
      <w:pPr>
        <w:tabs>
          <w:tab w:val="left" w:pos="7972"/>
        </w:tabs>
        <w:spacing w:line="360" w:lineRule="auto"/>
        <w:ind w:left="1079" w:leftChars="257" w:hanging="539"/>
        <w:jc w:val="left"/>
        <w:rPr>
          <w:rFonts w:ascii="宋体" w:hAnsi="宋体" w:cs="宋体"/>
          <w:sz w:val="24"/>
          <w:highlight w:val="none"/>
        </w:rPr>
      </w:pPr>
      <w:r>
        <w:rPr>
          <w:rFonts w:hint="eastAsia" w:ascii="宋体" w:hAnsi="宋体" w:cs="宋体"/>
          <w:sz w:val="24"/>
          <w:highlight w:val="none"/>
        </w:rPr>
        <w:tab/>
      </w:r>
    </w:p>
    <w:p w14:paraId="4F62F3CC">
      <w:pPr>
        <w:spacing w:line="360" w:lineRule="auto"/>
        <w:rPr>
          <w:rFonts w:ascii="宋体" w:hAnsi="宋体" w:cs="宋体"/>
          <w:sz w:val="24"/>
          <w:highlight w:val="none"/>
        </w:rPr>
      </w:pPr>
    </w:p>
    <w:p w14:paraId="2DEB1853">
      <w:pPr>
        <w:spacing w:line="360" w:lineRule="auto"/>
        <w:ind w:left="1079" w:leftChars="257" w:hanging="539"/>
        <w:jc w:val="center"/>
        <w:rPr>
          <w:rFonts w:ascii="宋体" w:hAnsi="宋体" w:cs="宋体"/>
          <w:sz w:val="24"/>
          <w:highlight w:val="none"/>
        </w:rPr>
      </w:pPr>
    </w:p>
    <w:p w14:paraId="4BF2E539">
      <w:pPr>
        <w:spacing w:line="360" w:lineRule="auto"/>
        <w:ind w:left="1079" w:leftChars="257" w:hanging="539"/>
        <w:jc w:val="center"/>
        <w:rPr>
          <w:rFonts w:ascii="宋体" w:hAnsi="宋体" w:cs="宋体"/>
          <w:sz w:val="24"/>
          <w:highlight w:val="none"/>
        </w:rPr>
      </w:pPr>
    </w:p>
    <w:p w14:paraId="15D0CC66">
      <w:pPr>
        <w:spacing w:line="360" w:lineRule="auto"/>
        <w:ind w:left="1079" w:leftChars="257" w:hanging="539"/>
        <w:jc w:val="center"/>
        <w:rPr>
          <w:rFonts w:ascii="宋体" w:hAnsi="宋体" w:cs="宋体"/>
          <w:sz w:val="24"/>
          <w:highlight w:val="none"/>
        </w:rPr>
      </w:pPr>
    </w:p>
    <w:p w14:paraId="51CA77DF">
      <w:pPr>
        <w:spacing w:line="360" w:lineRule="auto"/>
        <w:ind w:firstLine="1365" w:firstLineChars="400"/>
        <w:rPr>
          <w:rFonts w:ascii="宋体" w:hAnsi="宋体" w:cs="宋体"/>
          <w:b/>
          <w:bCs/>
          <w:sz w:val="34"/>
          <w:highlight w:val="none"/>
        </w:rPr>
      </w:pPr>
      <w:r>
        <w:rPr>
          <w:rFonts w:hint="eastAsia" w:ascii="宋体" w:hAnsi="宋体" w:cs="宋体"/>
          <w:b/>
          <w:bCs/>
          <w:sz w:val="34"/>
          <w:highlight w:val="none"/>
        </w:rPr>
        <w:t xml:space="preserve">采   购   人：河南省生态环境厅 </w:t>
      </w:r>
    </w:p>
    <w:p w14:paraId="24FEB0FA">
      <w:pPr>
        <w:spacing w:line="360" w:lineRule="auto"/>
        <w:ind w:firstLine="1365" w:firstLineChars="400"/>
        <w:rPr>
          <w:rFonts w:ascii="宋体" w:hAnsi="宋体" w:cs="宋体"/>
          <w:b/>
          <w:bCs/>
          <w:sz w:val="34"/>
          <w:highlight w:val="none"/>
        </w:rPr>
      </w:pPr>
      <w:r>
        <w:rPr>
          <w:rFonts w:hint="eastAsia" w:ascii="宋体" w:hAnsi="宋体" w:cs="宋体"/>
          <w:b/>
          <w:bCs/>
          <w:sz w:val="34"/>
          <w:highlight w:val="none"/>
        </w:rPr>
        <w:t>采购代理机构：河南省机电设备国际招标有限公司</w:t>
      </w:r>
    </w:p>
    <w:p w14:paraId="60A80106">
      <w:pPr>
        <w:spacing w:line="360" w:lineRule="auto"/>
        <w:ind w:firstLine="1365" w:firstLineChars="400"/>
        <w:rPr>
          <w:rFonts w:ascii="宋体" w:hAnsi="宋体" w:cs="宋体"/>
          <w:b/>
          <w:bCs/>
          <w:sz w:val="24"/>
          <w:highlight w:val="none"/>
        </w:rPr>
      </w:pPr>
      <w:r>
        <w:rPr>
          <w:rFonts w:hint="eastAsia" w:ascii="宋体" w:hAnsi="宋体" w:cs="宋体"/>
          <w:b/>
          <w:bCs/>
          <w:sz w:val="34"/>
          <w:highlight w:val="none"/>
        </w:rPr>
        <w:t>日　　　　期：二〇二</w:t>
      </w:r>
      <w:r>
        <w:rPr>
          <w:rFonts w:hint="eastAsia" w:ascii="宋体" w:hAnsi="宋体" w:cs="宋体"/>
          <w:b/>
          <w:bCs/>
          <w:sz w:val="34"/>
          <w:highlight w:val="none"/>
          <w:lang w:val="en-US" w:eastAsia="zh-CN"/>
        </w:rPr>
        <w:t>六</w:t>
      </w:r>
      <w:r>
        <w:rPr>
          <w:rFonts w:hint="eastAsia" w:ascii="宋体" w:hAnsi="宋体" w:cs="宋体"/>
          <w:b/>
          <w:bCs/>
          <w:sz w:val="34"/>
          <w:highlight w:val="none"/>
        </w:rPr>
        <w:t>年</w:t>
      </w:r>
      <w:r>
        <w:rPr>
          <w:rFonts w:hint="eastAsia" w:ascii="宋体" w:hAnsi="宋体" w:cs="宋体"/>
          <w:b/>
          <w:bCs/>
          <w:sz w:val="34"/>
          <w:highlight w:val="none"/>
          <w:lang w:val="en-US" w:eastAsia="zh-CN"/>
        </w:rPr>
        <w:t>四</w:t>
      </w:r>
      <w:r>
        <w:rPr>
          <w:rFonts w:hint="eastAsia" w:ascii="宋体" w:hAnsi="宋体" w:cs="宋体"/>
          <w:b/>
          <w:bCs/>
          <w:sz w:val="34"/>
          <w:highlight w:val="none"/>
        </w:rPr>
        <w:t>月</w:t>
      </w:r>
    </w:p>
    <w:p w14:paraId="28E3204F">
      <w:pPr>
        <w:spacing w:line="360" w:lineRule="auto"/>
        <w:jc w:val="center"/>
        <w:rPr>
          <w:rFonts w:ascii="宋体" w:hAnsi="宋体" w:cs="宋体"/>
          <w:b/>
          <w:sz w:val="36"/>
          <w:szCs w:val="22"/>
          <w:highlight w:val="none"/>
        </w:rPr>
        <w:sectPr>
          <w:footerReference r:id="rId3" w:type="default"/>
          <w:pgSz w:w="11906" w:h="16839"/>
          <w:pgMar w:top="1364" w:right="1393" w:bottom="1135" w:left="1478" w:header="0" w:footer="948" w:gutter="0"/>
          <w:cols w:space="720" w:num="1"/>
        </w:sectPr>
      </w:pPr>
    </w:p>
    <w:p w14:paraId="5FCBBA66">
      <w:pPr>
        <w:spacing w:line="360" w:lineRule="auto"/>
        <w:jc w:val="center"/>
        <w:rPr>
          <w:rFonts w:ascii="宋体" w:hAnsi="宋体" w:cs="宋体"/>
          <w:b/>
          <w:sz w:val="36"/>
          <w:szCs w:val="22"/>
          <w:highlight w:val="none"/>
        </w:rPr>
      </w:pPr>
    </w:p>
    <w:p w14:paraId="7A2FB323">
      <w:pPr>
        <w:spacing w:line="360" w:lineRule="auto"/>
        <w:jc w:val="center"/>
        <w:rPr>
          <w:rFonts w:ascii="宋体" w:hAnsi="宋体" w:cs="宋体"/>
          <w:b/>
          <w:sz w:val="28"/>
          <w:szCs w:val="22"/>
          <w:highlight w:val="none"/>
        </w:rPr>
      </w:pPr>
      <w:r>
        <w:rPr>
          <w:rFonts w:hint="eastAsia" w:ascii="宋体" w:hAnsi="宋体" w:cs="宋体"/>
          <w:b/>
          <w:sz w:val="36"/>
          <w:szCs w:val="22"/>
          <w:highlight w:val="none"/>
        </w:rPr>
        <w:t>目     录</w:t>
      </w:r>
    </w:p>
    <w:p w14:paraId="7D19661C">
      <w:pPr>
        <w:pStyle w:val="20"/>
        <w:tabs>
          <w:tab w:val="right" w:leader="dot" w:pos="8306"/>
          <w:tab w:val="clear" w:pos="8301"/>
        </w:tabs>
        <w:rPr>
          <w:rFonts w:ascii="宋体" w:hAnsi="宋体" w:cs="宋体"/>
          <w:highlight w:val="none"/>
        </w:rPr>
      </w:pPr>
    </w:p>
    <w:p w14:paraId="0C02D30C">
      <w:pPr>
        <w:pStyle w:val="20"/>
        <w:tabs>
          <w:tab w:val="right" w:leader="dot" w:pos="8306"/>
          <w:tab w:val="clear" w:pos="8301"/>
        </w:tabs>
        <w:rPr>
          <w:rFonts w:ascii="宋体" w:hAnsi="宋体" w:cs="宋体"/>
          <w:highlight w:val="none"/>
        </w:rPr>
      </w:pPr>
    </w:p>
    <w:p w14:paraId="13783A4C">
      <w:pPr>
        <w:pStyle w:val="20"/>
        <w:rPr>
          <w:rFonts w:ascii="宋体" w:hAnsi="宋体" w:cs="宋体"/>
          <w:sz w:val="28"/>
          <w:szCs w:val="28"/>
          <w:highlight w:val="none"/>
        </w:rPr>
      </w:pPr>
      <w:r>
        <w:rPr>
          <w:rFonts w:hint="eastAsia" w:ascii="宋体" w:hAnsi="宋体" w:cs="宋体"/>
          <w:highlight w:val="none"/>
        </w:rPr>
        <w:fldChar w:fldCharType="begin"/>
      </w:r>
      <w:r>
        <w:rPr>
          <w:rFonts w:hint="eastAsia" w:ascii="宋体" w:hAnsi="宋体" w:cs="宋体"/>
          <w:highlight w:val="none"/>
        </w:rPr>
        <w:instrText xml:space="preserve"> TOC \o "1-3"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"_Toc6253" </w:instrText>
      </w:r>
      <w:r>
        <w:rPr>
          <w:highlight w:val="none"/>
        </w:rPr>
        <w:fldChar w:fldCharType="separate"/>
      </w:r>
      <w:r>
        <w:rPr>
          <w:rFonts w:hint="eastAsia" w:ascii="宋体" w:hAnsi="宋体" w:cs="宋体"/>
          <w:sz w:val="28"/>
          <w:szCs w:val="28"/>
          <w:highlight w:val="none"/>
        </w:rPr>
        <w:t>特 别 提 示</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_Toc6253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97D0488">
      <w:pPr>
        <w:pStyle w:val="20"/>
        <w:tabs>
          <w:tab w:val="right" w:leader="dot" w:pos="8306"/>
          <w:tab w:val="clear" w:pos="8301"/>
        </w:tabs>
        <w:rPr>
          <w:rFonts w:ascii="宋体" w:hAnsi="宋体" w:cs="宋体"/>
          <w:sz w:val="28"/>
          <w:szCs w:val="28"/>
          <w:highlight w:val="none"/>
        </w:rPr>
      </w:pPr>
      <w:r>
        <w:rPr>
          <w:highlight w:val="none"/>
        </w:rPr>
        <w:fldChar w:fldCharType="begin"/>
      </w:r>
      <w:r>
        <w:rPr>
          <w:highlight w:val="none"/>
        </w:rPr>
        <w:instrText xml:space="preserve"> HYPERLINK \l "_Toc7923"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_Toc7923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592E7E7">
      <w:pPr>
        <w:pStyle w:val="20"/>
        <w:tabs>
          <w:tab w:val="right" w:leader="dot" w:pos="8306"/>
          <w:tab w:val="clear" w:pos="8301"/>
        </w:tabs>
        <w:spacing w:line="480" w:lineRule="auto"/>
        <w:rPr>
          <w:rFonts w:ascii="宋体" w:hAnsi="宋体" w:cs="宋体"/>
          <w:sz w:val="28"/>
          <w:szCs w:val="28"/>
          <w:highlight w:val="none"/>
        </w:rPr>
      </w:pPr>
      <w:r>
        <w:rPr>
          <w:highlight w:val="none"/>
        </w:rPr>
        <w:fldChar w:fldCharType="begin"/>
      </w:r>
      <w:r>
        <w:rPr>
          <w:highlight w:val="none"/>
        </w:rPr>
        <w:instrText xml:space="preserve"> HYPERLINK \l "_Toc13654" </w:instrText>
      </w:r>
      <w:r>
        <w:rPr>
          <w:highlight w:val="none"/>
        </w:rPr>
        <w:fldChar w:fldCharType="separate"/>
      </w:r>
      <w:r>
        <w:rPr>
          <w:rFonts w:hint="eastAsia" w:ascii="宋体" w:hAnsi="宋体" w:cs="宋体"/>
          <w:sz w:val="28"/>
          <w:szCs w:val="28"/>
          <w:highlight w:val="none"/>
        </w:rPr>
        <w:t>第二章  供应商须知</w:t>
      </w:r>
      <w:r>
        <w:rPr>
          <w:rFonts w:hint="eastAsia" w:ascii="宋体" w:hAnsi="宋体" w:cs="宋体"/>
          <w:sz w:val="28"/>
          <w:szCs w:val="28"/>
          <w:highlight w:val="none"/>
        </w:rPr>
        <w:fldChar w:fldCharType="end"/>
      </w:r>
      <w:r>
        <w:rPr>
          <w:highlight w:val="none"/>
        </w:rPr>
        <w:fldChar w:fldCharType="begin"/>
      </w:r>
      <w:r>
        <w:rPr>
          <w:highlight w:val="none"/>
        </w:rPr>
        <w:instrText xml:space="preserve"> HYPERLINK \l "_Toc6084" </w:instrText>
      </w:r>
      <w:r>
        <w:rPr>
          <w:highlight w:val="none"/>
        </w:rPr>
        <w:fldChar w:fldCharType="separate"/>
      </w:r>
      <w:r>
        <w:rPr>
          <w:rFonts w:hint="eastAsia" w:ascii="宋体" w:hAnsi="宋体" w:cs="宋体"/>
          <w:sz w:val="28"/>
          <w:szCs w:val="28"/>
          <w:highlight w:val="none"/>
        </w:rPr>
        <w:t>供应商须知前附表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_Toc6084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B604DC9">
      <w:pPr>
        <w:pStyle w:val="20"/>
        <w:tabs>
          <w:tab w:val="right" w:leader="dot" w:pos="8306"/>
          <w:tab w:val="clear" w:pos="8301"/>
        </w:tabs>
        <w:rPr>
          <w:rFonts w:ascii="宋体" w:hAnsi="宋体" w:cs="宋体"/>
          <w:sz w:val="28"/>
          <w:szCs w:val="28"/>
          <w:highlight w:val="none"/>
        </w:rPr>
      </w:pPr>
      <w:r>
        <w:rPr>
          <w:highlight w:val="none"/>
        </w:rPr>
        <w:fldChar w:fldCharType="begin"/>
      </w:r>
      <w:r>
        <w:rPr>
          <w:highlight w:val="none"/>
        </w:rPr>
        <w:instrText xml:space="preserve"> HYPERLINK \l "_Toc9165" </w:instrText>
      </w:r>
      <w:r>
        <w:rPr>
          <w:highlight w:val="none"/>
        </w:rPr>
        <w:fldChar w:fldCharType="separate"/>
      </w:r>
      <w:r>
        <w:rPr>
          <w:rFonts w:hint="eastAsia" w:ascii="宋体" w:hAnsi="宋体" w:cs="宋体"/>
          <w:sz w:val="28"/>
          <w:szCs w:val="28"/>
          <w:highlight w:val="none"/>
        </w:rPr>
        <w:t>第三章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_Toc9165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44</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CFF00E3">
      <w:pPr>
        <w:pStyle w:val="20"/>
        <w:tabs>
          <w:tab w:val="right" w:leader="dot" w:pos="8306"/>
          <w:tab w:val="clear" w:pos="8301"/>
        </w:tabs>
        <w:rPr>
          <w:rFonts w:ascii="宋体" w:hAnsi="宋体" w:cs="宋体"/>
          <w:sz w:val="28"/>
          <w:szCs w:val="28"/>
          <w:highlight w:val="none"/>
        </w:rPr>
      </w:pPr>
      <w:r>
        <w:rPr>
          <w:highlight w:val="none"/>
        </w:rPr>
        <w:fldChar w:fldCharType="begin"/>
      </w:r>
      <w:r>
        <w:rPr>
          <w:highlight w:val="none"/>
        </w:rPr>
        <w:instrText xml:space="preserve"> HYPERLINK \l "_Toc4028" </w:instrText>
      </w:r>
      <w:r>
        <w:rPr>
          <w:highlight w:val="none"/>
        </w:rPr>
        <w:fldChar w:fldCharType="separate"/>
      </w:r>
      <w:r>
        <w:rPr>
          <w:rFonts w:hint="eastAsia" w:ascii="宋体" w:hAnsi="宋体" w:cs="宋体"/>
          <w:sz w:val="28"/>
          <w:szCs w:val="28"/>
          <w:highlight w:val="none"/>
        </w:rPr>
        <w:t>第四章 磋商内容、磋商过程中可能实质性变动的内容</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_Toc4028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CFE37F4">
      <w:pPr>
        <w:pStyle w:val="20"/>
        <w:tabs>
          <w:tab w:val="right" w:leader="dot" w:pos="8306"/>
          <w:tab w:val="clear" w:pos="8301"/>
        </w:tabs>
        <w:rPr>
          <w:rFonts w:ascii="宋体" w:hAnsi="宋体" w:cs="宋体"/>
          <w:sz w:val="28"/>
          <w:szCs w:val="28"/>
          <w:highlight w:val="none"/>
        </w:rPr>
      </w:pPr>
      <w:r>
        <w:rPr>
          <w:highlight w:val="none"/>
        </w:rPr>
        <w:fldChar w:fldCharType="begin"/>
      </w:r>
      <w:r>
        <w:rPr>
          <w:highlight w:val="none"/>
        </w:rPr>
        <w:instrText xml:space="preserve"> HYPERLINK \l "_Toc18310" </w:instrText>
      </w:r>
      <w:r>
        <w:rPr>
          <w:highlight w:val="none"/>
        </w:rPr>
        <w:fldChar w:fldCharType="separate"/>
      </w:r>
      <w:r>
        <w:rPr>
          <w:rFonts w:hint="eastAsia" w:ascii="宋体" w:hAnsi="宋体" w:cs="宋体"/>
          <w:sz w:val="28"/>
          <w:szCs w:val="28"/>
          <w:highlight w:val="none"/>
        </w:rPr>
        <w:t>第五章  磋商程序、评审方法及评审标准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_Toc18310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EED1E16">
      <w:pPr>
        <w:pStyle w:val="20"/>
        <w:tabs>
          <w:tab w:val="right" w:leader="dot" w:pos="8306"/>
          <w:tab w:val="clear" w:pos="8301"/>
        </w:tabs>
        <w:rPr>
          <w:rFonts w:ascii="宋体" w:hAnsi="宋体" w:cs="宋体"/>
          <w:sz w:val="28"/>
          <w:szCs w:val="28"/>
          <w:highlight w:val="none"/>
        </w:rPr>
      </w:pPr>
      <w:r>
        <w:rPr>
          <w:highlight w:val="none"/>
        </w:rPr>
        <w:fldChar w:fldCharType="begin"/>
      </w:r>
      <w:r>
        <w:rPr>
          <w:highlight w:val="none"/>
        </w:rPr>
        <w:instrText xml:space="preserve"> HYPERLINK \l "_Toc29464" </w:instrText>
      </w:r>
      <w:r>
        <w:rPr>
          <w:highlight w:val="none"/>
        </w:rPr>
        <w:fldChar w:fldCharType="separate"/>
      </w:r>
      <w:r>
        <w:rPr>
          <w:rFonts w:hint="eastAsia" w:ascii="宋体" w:hAnsi="宋体" w:cs="宋体"/>
          <w:sz w:val="28"/>
          <w:szCs w:val="28"/>
          <w:highlight w:val="none"/>
        </w:rPr>
        <w:t>第六章  政府采购合同条款及格式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_Toc29464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6D2B5D8">
      <w:pPr>
        <w:pStyle w:val="20"/>
        <w:rPr>
          <w:rFonts w:ascii="宋体" w:hAnsi="宋体" w:cs="宋体"/>
          <w:sz w:val="28"/>
          <w:szCs w:val="28"/>
          <w:highlight w:val="none"/>
        </w:rPr>
      </w:pPr>
      <w:r>
        <w:rPr>
          <w:highlight w:val="none"/>
        </w:rPr>
        <w:fldChar w:fldCharType="begin"/>
      </w:r>
      <w:r>
        <w:rPr>
          <w:highlight w:val="none"/>
        </w:rPr>
        <w:instrText xml:space="preserve"> HYPERLINK \l "_Toc27702" </w:instrText>
      </w:r>
      <w:r>
        <w:rPr>
          <w:highlight w:val="none"/>
        </w:rPr>
        <w:fldChar w:fldCharType="separate"/>
      </w:r>
      <w:r>
        <w:rPr>
          <w:rFonts w:hint="eastAsia" w:ascii="宋体" w:hAnsi="宋体" w:cs="宋体"/>
          <w:sz w:val="28"/>
          <w:szCs w:val="28"/>
          <w:highlight w:val="none"/>
        </w:rPr>
        <w:t>第七章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_Toc27702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CB473DC">
      <w:pPr>
        <w:pStyle w:val="13"/>
        <w:tabs>
          <w:tab w:val="right" w:leader="dot" w:pos="8306"/>
        </w:tabs>
        <w:rPr>
          <w:highlight w:val="none"/>
        </w:rPr>
      </w:pPr>
    </w:p>
    <w:p w14:paraId="68FEB583">
      <w:pPr>
        <w:spacing w:line="480" w:lineRule="auto"/>
        <w:rPr>
          <w:rFonts w:ascii="宋体" w:hAnsi="宋体" w:cs="宋体"/>
          <w:sz w:val="18"/>
          <w:szCs w:val="18"/>
          <w:highlight w:val="none"/>
        </w:rPr>
      </w:pPr>
      <w:r>
        <w:rPr>
          <w:rFonts w:hint="eastAsia" w:ascii="宋体" w:hAnsi="宋体" w:cs="宋体"/>
          <w:sz w:val="24"/>
          <w:highlight w:val="none"/>
        </w:rPr>
        <w:fldChar w:fldCharType="end"/>
      </w:r>
    </w:p>
    <w:p w14:paraId="4D9531B1">
      <w:pPr>
        <w:spacing w:line="360" w:lineRule="auto"/>
        <w:rPr>
          <w:rFonts w:ascii="宋体" w:hAnsi="宋体" w:cs="宋体"/>
          <w:sz w:val="24"/>
          <w:highlight w:val="none"/>
        </w:rPr>
      </w:pPr>
    </w:p>
    <w:p w14:paraId="5617FEC2">
      <w:pPr>
        <w:spacing w:line="360" w:lineRule="auto"/>
        <w:rPr>
          <w:rFonts w:ascii="宋体" w:hAnsi="宋体" w:cs="宋体"/>
          <w:sz w:val="24"/>
          <w:highlight w:val="none"/>
        </w:rPr>
      </w:pPr>
    </w:p>
    <w:p w14:paraId="3E698C64">
      <w:pPr>
        <w:spacing w:line="360" w:lineRule="auto"/>
        <w:rPr>
          <w:rFonts w:ascii="宋体" w:hAnsi="宋体" w:cs="宋体"/>
          <w:sz w:val="24"/>
          <w:highlight w:val="none"/>
        </w:rPr>
      </w:pPr>
    </w:p>
    <w:p w14:paraId="49B18F31">
      <w:pPr>
        <w:spacing w:line="360" w:lineRule="auto"/>
        <w:rPr>
          <w:rFonts w:ascii="宋体" w:hAnsi="宋体" w:cs="宋体"/>
          <w:sz w:val="24"/>
          <w:highlight w:val="none"/>
        </w:rPr>
      </w:pPr>
    </w:p>
    <w:p w14:paraId="77F5667B">
      <w:pPr>
        <w:spacing w:line="360" w:lineRule="auto"/>
        <w:rPr>
          <w:rFonts w:ascii="宋体" w:hAnsi="宋体" w:cs="宋体"/>
          <w:sz w:val="24"/>
          <w:highlight w:val="none"/>
        </w:rPr>
      </w:pPr>
    </w:p>
    <w:p w14:paraId="455A0709">
      <w:pPr>
        <w:spacing w:line="360" w:lineRule="auto"/>
        <w:rPr>
          <w:rFonts w:ascii="宋体" w:hAnsi="宋体" w:cs="宋体"/>
          <w:sz w:val="24"/>
          <w:highlight w:val="none"/>
        </w:rPr>
      </w:pPr>
    </w:p>
    <w:p w14:paraId="7E2F279E">
      <w:pPr>
        <w:spacing w:line="360" w:lineRule="auto"/>
        <w:rPr>
          <w:rFonts w:ascii="宋体" w:hAnsi="宋体" w:cs="宋体"/>
          <w:sz w:val="24"/>
          <w:highlight w:val="none"/>
        </w:rPr>
      </w:pPr>
    </w:p>
    <w:p w14:paraId="4AFB469D">
      <w:pPr>
        <w:spacing w:line="360" w:lineRule="auto"/>
        <w:rPr>
          <w:rFonts w:ascii="宋体" w:hAnsi="宋体" w:cs="宋体"/>
          <w:sz w:val="24"/>
          <w:highlight w:val="none"/>
        </w:rPr>
      </w:pPr>
    </w:p>
    <w:p w14:paraId="67EF8884">
      <w:pPr>
        <w:spacing w:line="360" w:lineRule="auto"/>
        <w:rPr>
          <w:rFonts w:ascii="宋体" w:hAnsi="宋体" w:cs="宋体"/>
          <w:sz w:val="24"/>
          <w:highlight w:val="none"/>
        </w:rPr>
      </w:pPr>
    </w:p>
    <w:p w14:paraId="4638B480">
      <w:pPr>
        <w:spacing w:line="360" w:lineRule="auto"/>
        <w:rPr>
          <w:rFonts w:ascii="宋体" w:hAnsi="宋体" w:cs="宋体"/>
          <w:b/>
          <w:sz w:val="24"/>
          <w:highlight w:val="none"/>
        </w:rPr>
      </w:pPr>
    </w:p>
    <w:p w14:paraId="5058B566">
      <w:pPr>
        <w:pStyle w:val="3"/>
        <w:tabs>
          <w:tab w:val="left" w:pos="0"/>
          <w:tab w:val="right" w:leader="dot" w:pos="142"/>
        </w:tabs>
        <w:autoSpaceDE w:val="0"/>
        <w:autoSpaceDN w:val="0"/>
        <w:adjustRightInd w:val="0"/>
        <w:spacing w:before="0" w:after="0" w:line="360" w:lineRule="auto"/>
        <w:ind w:left="2"/>
        <w:jc w:val="center"/>
        <w:rPr>
          <w:rFonts w:ascii="宋体" w:hAnsi="宋体" w:cs="宋体"/>
          <w:sz w:val="24"/>
          <w:szCs w:val="24"/>
          <w:highlight w:val="none"/>
        </w:rPr>
      </w:pPr>
      <w:bookmarkStart w:id="0" w:name="_Toc8924"/>
      <w:bookmarkStart w:id="1" w:name="_Toc6253"/>
      <w:bookmarkStart w:id="2" w:name="_Toc532473519"/>
      <w:bookmarkStart w:id="3" w:name="_Toc16370"/>
      <w:bookmarkStart w:id="4" w:name="_Toc219175634"/>
      <w:bookmarkStart w:id="5" w:name="_Toc216582822"/>
      <w:bookmarkStart w:id="6" w:name="_Toc507399902"/>
      <w:bookmarkStart w:id="7" w:name="_Toc15048357"/>
      <w:bookmarkStart w:id="8" w:name="_Toc532044537"/>
      <w:bookmarkStart w:id="9" w:name="_Toc515647829"/>
      <w:bookmarkStart w:id="10" w:name="_Toc218935350"/>
      <w:bookmarkStart w:id="11" w:name="_Toc28765"/>
      <w:bookmarkStart w:id="12" w:name="_Toc9098"/>
      <w:r>
        <w:rPr>
          <w:rFonts w:hint="eastAsia" w:ascii="宋体" w:hAnsi="宋体" w:cs="宋体"/>
          <w:sz w:val="24"/>
          <w:szCs w:val="24"/>
          <w:highlight w:val="none"/>
        </w:rPr>
        <w:t>特 别 提 示</w:t>
      </w:r>
      <w:bookmarkEnd w:id="0"/>
      <w:bookmarkEnd w:id="1"/>
    </w:p>
    <w:p w14:paraId="1B99CD0A">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13" w:name="_Toc9766"/>
      <w:bookmarkStart w:id="14" w:name="_Toc28164"/>
      <w:r>
        <w:rPr>
          <w:rFonts w:hint="eastAsia" w:ascii="宋体" w:hAnsi="宋体" w:cs="宋体"/>
          <w:b w:val="0"/>
          <w:bCs w:val="0"/>
          <w:sz w:val="24"/>
          <w:szCs w:val="24"/>
          <w:highlight w:val="none"/>
        </w:rPr>
        <w:t>1、响应文件制作</w:t>
      </w:r>
      <w:bookmarkEnd w:id="13"/>
      <w:bookmarkEnd w:id="14"/>
    </w:p>
    <w:p w14:paraId="4C0EFA5F">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15" w:name="_Toc22589"/>
      <w:bookmarkStart w:id="16" w:name="_Toc24234"/>
      <w:r>
        <w:rPr>
          <w:rFonts w:hint="eastAsia" w:ascii="宋体" w:hAnsi="宋体" w:cs="宋体"/>
          <w:b w:val="0"/>
          <w:bCs w:val="0"/>
          <w:sz w:val="24"/>
          <w:szCs w:val="24"/>
          <w:highlight w:val="none"/>
        </w:rPr>
        <w:t>1.1、供应商通过“河南省公共资源交易中心（http://hnsggzyjy.henan.gov.cn/）”网站公共服务（办事指南及下载专区）：下载“响应文件制作工具安装包压缩文件下载”等。</w:t>
      </w:r>
      <w:bookmarkEnd w:id="15"/>
      <w:bookmarkEnd w:id="16"/>
    </w:p>
    <w:p w14:paraId="7328AA4D">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17" w:name="_Toc22789"/>
      <w:bookmarkStart w:id="18" w:name="_Toc9319"/>
      <w:r>
        <w:rPr>
          <w:rFonts w:hint="eastAsia" w:ascii="宋体" w:hAnsi="宋体" w:cs="宋体"/>
          <w:b w:val="0"/>
          <w:bCs w:val="0"/>
          <w:sz w:val="24"/>
          <w:szCs w:val="24"/>
          <w:highlight w:val="none"/>
        </w:rPr>
        <w:t>1.2、供应商凭CA密钥登陆会员专区并按网上提示自行下载每个项目所含格式(.hnzf)的磋商文件。</w:t>
      </w:r>
      <w:bookmarkEnd w:id="17"/>
      <w:bookmarkEnd w:id="18"/>
    </w:p>
    <w:p w14:paraId="0BBAE212">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19" w:name="_Toc2125"/>
      <w:bookmarkStart w:id="20" w:name="_Toc28852"/>
      <w:r>
        <w:rPr>
          <w:rFonts w:hint="eastAsia" w:ascii="宋体" w:hAnsi="宋体" w:cs="宋体"/>
          <w:b w:val="0"/>
          <w:bCs w:val="0"/>
          <w:sz w:val="24"/>
          <w:szCs w:val="24"/>
          <w:highlight w:val="none"/>
        </w:rPr>
        <w:t>1.3、供应商须在响应文件递交截止时间前制作并提交：加密的电子响应文件（*.hntf 格式）,应在响应文件截止时间前通过“河南省公共资源交易中心（http://hnsggzyjy.henan.gov.cn/ ）”电子交易平台内上传；</w:t>
      </w:r>
      <w:bookmarkEnd w:id="19"/>
      <w:bookmarkEnd w:id="20"/>
    </w:p>
    <w:p w14:paraId="4164EB58">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21" w:name="_Toc32262"/>
      <w:bookmarkStart w:id="22" w:name="_Toc2233"/>
      <w:r>
        <w:rPr>
          <w:rFonts w:hint="eastAsia" w:ascii="宋体" w:hAnsi="宋体" w:cs="宋体"/>
          <w:b w:val="0"/>
          <w:bCs w:val="0"/>
          <w:sz w:val="24"/>
          <w:szCs w:val="24"/>
          <w:highlight w:val="none"/>
        </w:rPr>
        <w:t>1.4、加密的电子响应文件为“河南省公共资源交易中心（http://hnsggzyjy.henan.gov.cn/ ）”网站提供的“响应文件制作工具”软件制作生成的加密版响应文件。</w:t>
      </w:r>
      <w:bookmarkEnd w:id="21"/>
      <w:bookmarkEnd w:id="22"/>
    </w:p>
    <w:p w14:paraId="7B1434E1">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23" w:name="_Toc12708"/>
      <w:bookmarkStart w:id="24" w:name="_Toc24785"/>
      <w:r>
        <w:rPr>
          <w:rFonts w:hint="eastAsia" w:ascii="宋体" w:hAnsi="宋体" w:cs="宋体"/>
          <w:b w:val="0"/>
          <w:bCs w:val="0"/>
          <w:sz w:val="24"/>
          <w:szCs w:val="24"/>
          <w:highlight w:val="none"/>
        </w:rPr>
        <w:t>1.5、磋商文件格式所要求包含的全部资料应全部制作在响应文件内，严格按照本项目磋商文件所有格式如实填写（不涉及的内容除外），不应存在漏项或缺项，否则将存在响应文件被拒绝的风险。</w:t>
      </w:r>
      <w:r>
        <w:rPr>
          <w:rFonts w:hint="eastAsia" w:ascii="宋体" w:hAnsi="宋体" w:cs="宋体"/>
          <w:b w:val="0"/>
          <w:bCs w:val="0"/>
          <w:sz w:val="24"/>
          <w:szCs w:val="24"/>
          <w:highlight w:val="none"/>
          <w:lang w:eastAsia="zh-CN"/>
        </w:rPr>
        <w:t>磋商</w:t>
      </w:r>
      <w:r>
        <w:rPr>
          <w:rFonts w:hint="eastAsia" w:ascii="宋体" w:hAnsi="宋体" w:cs="宋体"/>
          <w:b w:val="0"/>
          <w:bCs w:val="0"/>
          <w:sz w:val="24"/>
          <w:szCs w:val="24"/>
          <w:highlight w:val="none"/>
        </w:rPr>
        <w:t>函及开标一览表，须严格按照格式编辑，并作为电子开评标系统上传的依据。</w:t>
      </w:r>
      <w:bookmarkEnd w:id="23"/>
      <w:bookmarkEnd w:id="24"/>
    </w:p>
    <w:p w14:paraId="19FBF182">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25" w:name="_Toc14842"/>
      <w:bookmarkStart w:id="26" w:name="_Toc29538"/>
      <w:r>
        <w:rPr>
          <w:rFonts w:hint="eastAsia" w:ascii="宋体" w:hAnsi="宋体" w:cs="宋体"/>
          <w:b w:val="0"/>
          <w:bCs w:val="0"/>
          <w:sz w:val="24"/>
          <w:szCs w:val="24"/>
          <w:highlight w:val="none"/>
        </w:rPr>
        <w:t>1.6、供应商编辑电子响应文件时，根据磋商文件要求用法定代表人CA密钥和企业CA密钥进行签章制作；最后一步生成电子响应文件（*.hntf格式和*.nhntf格式）时，只能用本单位的企业CA密钥。</w:t>
      </w:r>
      <w:bookmarkEnd w:id="25"/>
      <w:bookmarkEnd w:id="26"/>
    </w:p>
    <w:p w14:paraId="209514BC">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27" w:name="_Toc21907"/>
      <w:bookmarkStart w:id="28" w:name="_Toc13907"/>
      <w:r>
        <w:rPr>
          <w:rFonts w:hint="eastAsia" w:ascii="宋体" w:hAnsi="宋体" w:cs="宋体"/>
          <w:b w:val="0"/>
          <w:bCs w:val="0"/>
          <w:sz w:val="24"/>
          <w:szCs w:val="24"/>
          <w:highlight w:val="none"/>
        </w:rPr>
        <w:t>2、澄清与变更</w:t>
      </w:r>
      <w:bookmarkEnd w:id="27"/>
      <w:bookmarkEnd w:id="28"/>
    </w:p>
    <w:p w14:paraId="40E79C48">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29" w:name="_Toc23554"/>
      <w:bookmarkStart w:id="30" w:name="_Toc19048"/>
      <w:r>
        <w:rPr>
          <w:rFonts w:hint="eastAsia" w:ascii="宋体" w:hAnsi="宋体" w:cs="宋体"/>
          <w:b w:val="0"/>
          <w:bCs w:val="0"/>
          <w:sz w:val="24"/>
          <w:szCs w:val="24"/>
          <w:highlight w:val="none"/>
        </w:rPr>
        <w:t>采购人、采购机构对已发出的磋商文件进行的澄清、更正或更改，澄清、更正或更改的内容将作为磋商文件的组成部分。采购机构将通过网站“变更公告”和系统内部“答疑文件”告知供应商，对于各项目中已经成功下载磋商文件的项目供应商，系统将通过第三方短信群发方式提醒供应商进行查询。各供应商须重新下载最新的磋商文件和答疑文件，以此编制响应文件。供应商注册时所留手机联系方式要保持畅通，因联系方式变更而未及时更新系统内联系方式的，将会造成收不到短信。此短信仅系友情提示，并不具有任何约束性和必要性，集中采购机构不承担供应商未收到短信而引起的一切后果和法律责任。</w:t>
      </w:r>
      <w:bookmarkEnd w:id="29"/>
      <w:bookmarkEnd w:id="30"/>
    </w:p>
    <w:p w14:paraId="3C58D3D9">
      <w:pPr>
        <w:pStyle w:val="3"/>
        <w:tabs>
          <w:tab w:val="left" w:pos="0"/>
          <w:tab w:val="right" w:leader="dot" w:pos="142"/>
        </w:tabs>
        <w:autoSpaceDE w:val="0"/>
        <w:autoSpaceDN w:val="0"/>
        <w:adjustRightInd w:val="0"/>
        <w:spacing w:before="0" w:after="0" w:line="360" w:lineRule="auto"/>
        <w:ind w:left="2"/>
        <w:jc w:val="left"/>
        <w:rPr>
          <w:rFonts w:ascii="宋体" w:hAnsi="宋体" w:cs="宋体"/>
          <w:b w:val="0"/>
          <w:bCs w:val="0"/>
          <w:sz w:val="24"/>
          <w:szCs w:val="24"/>
          <w:highlight w:val="none"/>
        </w:rPr>
      </w:pPr>
      <w:bookmarkStart w:id="31" w:name="_Toc17442"/>
      <w:bookmarkStart w:id="32" w:name="_Toc9402"/>
      <w:r>
        <w:rPr>
          <w:rFonts w:hint="eastAsia" w:ascii="宋体" w:hAnsi="宋体" w:cs="宋体"/>
          <w:b w:val="0"/>
          <w:bCs w:val="0"/>
          <w:sz w:val="24"/>
          <w:szCs w:val="24"/>
          <w:highlight w:val="none"/>
        </w:rPr>
        <w:t>3、因河南省公共资源交易中心平台在开标前具有保密性，供应商在响应文件递交截止时间前须自行查看项目进展、变更通知、澄清及回复，因供应商未及时查看而造成的后果自负。</w:t>
      </w:r>
      <w:bookmarkEnd w:id="31"/>
      <w:bookmarkEnd w:id="32"/>
    </w:p>
    <w:p w14:paraId="21EEED6F">
      <w:pPr>
        <w:pStyle w:val="3"/>
        <w:tabs>
          <w:tab w:val="left" w:pos="0"/>
          <w:tab w:val="right" w:leader="dot" w:pos="142"/>
        </w:tabs>
        <w:autoSpaceDE w:val="0"/>
        <w:autoSpaceDN w:val="0"/>
        <w:adjustRightInd w:val="0"/>
        <w:spacing w:before="0" w:after="0" w:line="360" w:lineRule="auto"/>
        <w:ind w:left="2"/>
        <w:jc w:val="left"/>
        <w:rPr>
          <w:rFonts w:ascii="宋体" w:hAnsi="宋体" w:cs="宋体"/>
          <w:highlight w:val="none"/>
        </w:rPr>
      </w:pPr>
      <w:bookmarkStart w:id="33" w:name="_Toc31814"/>
      <w:bookmarkStart w:id="34" w:name="_Toc21038"/>
      <w:r>
        <w:rPr>
          <w:rFonts w:hint="eastAsia" w:ascii="宋体" w:hAnsi="宋体" w:cs="宋体"/>
          <w:b w:val="0"/>
          <w:bCs w:val="0"/>
          <w:sz w:val="24"/>
          <w:szCs w:val="24"/>
          <w:highlight w:val="none"/>
        </w:rPr>
        <w:t>4、根据《河南省公共资源交易中心关于推行全程不见面服务的通知》要求，除必须提交样品或现场演示情况外，所有项目均采用不见面开标。供应商无需到省交易中心现场参加开标会议，供应商（供应商）应当在招标（采购）文件确定的投标截止时间前，登录远程开标大厅，在线准时参加开标活动并进行文件解密、答疑澄清、二次报价等。详见《河南省公共资源交易中心》首页-公共服务-办事指南《新交易平台使用手册（培训资料）》。</w:t>
      </w:r>
      <w:bookmarkEnd w:id="33"/>
      <w:bookmarkEnd w:id="34"/>
    </w:p>
    <w:p w14:paraId="1D0B54E0">
      <w:pPr>
        <w:tabs>
          <w:tab w:val="left" w:pos="0"/>
          <w:tab w:val="right" w:leader="dot" w:pos="142"/>
        </w:tabs>
        <w:autoSpaceDE w:val="0"/>
        <w:autoSpaceDN w:val="0"/>
        <w:adjustRightInd w:val="0"/>
        <w:spacing w:line="360" w:lineRule="auto"/>
        <w:ind w:left="2"/>
        <w:jc w:val="center"/>
        <w:rPr>
          <w:rFonts w:ascii="宋体" w:hAnsi="宋体" w:cs="宋体"/>
          <w:highlight w:val="none"/>
        </w:rPr>
      </w:pPr>
      <w:r>
        <w:rPr>
          <w:rFonts w:hint="eastAsia" w:ascii="宋体" w:hAnsi="宋体" w:cs="宋体"/>
          <w:highlight w:val="none"/>
        </w:rPr>
        <w:br w:type="page"/>
      </w:r>
    </w:p>
    <w:p w14:paraId="532BE2A6">
      <w:pPr>
        <w:pStyle w:val="44"/>
        <w:tabs>
          <w:tab w:val="left" w:pos="0"/>
          <w:tab w:val="right" w:leader="dot" w:pos="142"/>
        </w:tabs>
        <w:autoSpaceDE w:val="0"/>
        <w:autoSpaceDN w:val="0"/>
        <w:adjustRightInd w:val="0"/>
        <w:spacing w:before="0" w:line="360" w:lineRule="auto"/>
        <w:ind w:left="2" w:firstLine="3092" w:firstLineChars="1100"/>
        <w:rPr>
          <w:rFonts w:ascii="宋体" w:hAnsi="宋体" w:eastAsia="宋体"/>
          <w:b/>
          <w:highlight w:val="none"/>
        </w:rPr>
      </w:pPr>
      <w:bookmarkStart w:id="35" w:name="_Toc7923"/>
      <w:bookmarkStart w:id="36" w:name="_Toc20300"/>
      <w:r>
        <w:rPr>
          <w:rFonts w:hint="eastAsia" w:ascii="宋体" w:hAnsi="宋体" w:eastAsia="宋体"/>
          <w:b/>
          <w:highlight w:val="none"/>
        </w:rPr>
        <w:t xml:space="preserve">第一章  </w:t>
      </w:r>
      <w:bookmarkEnd w:id="2"/>
      <w:bookmarkEnd w:id="3"/>
      <w:bookmarkEnd w:id="4"/>
      <w:bookmarkEnd w:id="5"/>
      <w:bookmarkEnd w:id="6"/>
      <w:bookmarkEnd w:id="7"/>
      <w:bookmarkEnd w:id="8"/>
      <w:bookmarkEnd w:id="9"/>
      <w:bookmarkEnd w:id="10"/>
      <w:bookmarkEnd w:id="11"/>
      <w:r>
        <w:rPr>
          <w:rFonts w:hint="eastAsia" w:ascii="宋体" w:hAnsi="宋体" w:eastAsia="宋体"/>
          <w:b/>
          <w:highlight w:val="none"/>
        </w:rPr>
        <w:t>竞争性磋商公告</w:t>
      </w:r>
      <w:bookmarkEnd w:id="12"/>
      <w:bookmarkEnd w:id="35"/>
      <w:bookmarkEnd w:id="36"/>
    </w:p>
    <w:p w14:paraId="60A4CCDF">
      <w:pPr>
        <w:spacing w:line="360" w:lineRule="auto"/>
        <w:ind w:firstLine="480" w:firstLineChars="200"/>
        <w:jc w:val="center"/>
        <w:rPr>
          <w:rFonts w:ascii="宋体" w:hAnsi="宋体" w:cs="宋体"/>
          <w:sz w:val="24"/>
          <w:highlight w:val="none"/>
        </w:rPr>
      </w:pPr>
      <w:r>
        <w:rPr>
          <w:rFonts w:hint="eastAsia" w:ascii="宋体" w:hAnsi="宋体" w:cs="宋体"/>
          <w:sz w:val="24"/>
          <w:highlight w:val="none"/>
          <w:lang w:eastAsia="zh-CN"/>
        </w:rPr>
        <w:t>河南省生态环境厅职工食堂承包服务项目</w:t>
      </w:r>
      <w:r>
        <w:rPr>
          <w:rFonts w:hint="eastAsia" w:ascii="宋体" w:hAnsi="宋体" w:cs="宋体"/>
          <w:sz w:val="24"/>
          <w:highlight w:val="none"/>
        </w:rPr>
        <w:t>-竞争性磋商公告</w:t>
      </w:r>
    </w:p>
    <w:p w14:paraId="4EDD6AB2">
      <w:pPr>
        <w:spacing w:line="360" w:lineRule="auto"/>
        <w:ind w:firstLine="0" w:firstLineChars="0"/>
        <w:rPr>
          <w:rFonts w:ascii="宋体" w:hAnsi="宋体" w:cs="宋体"/>
          <w:sz w:val="24"/>
          <w:highlight w:val="none"/>
        </w:rPr>
      </w:pPr>
      <w:r>
        <w:rPr>
          <w:rFonts w:hint="eastAsia" w:ascii="宋体" w:hAnsi="宋体" w:cs="宋体"/>
          <w:sz w:val="24"/>
          <w:highlight w:val="none"/>
        </w:rPr>
        <w:t>项目概况</w:t>
      </w:r>
    </w:p>
    <w:p w14:paraId="279DE073">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河南省生态环境厅职工食堂承包服务项目</w:t>
      </w:r>
      <w:r>
        <w:rPr>
          <w:rFonts w:hint="eastAsia" w:ascii="宋体" w:hAnsi="宋体" w:cs="宋体"/>
          <w:sz w:val="24"/>
          <w:highlight w:val="none"/>
        </w:rPr>
        <w:t>招标项目的潜在投标人应在登录《河南省公共资源交易中心》网站获取</w:t>
      </w:r>
      <w:r>
        <w:rPr>
          <w:rFonts w:hint="eastAsia" w:ascii="宋体" w:hAnsi="宋体" w:cs="宋体"/>
          <w:sz w:val="24"/>
          <w:highlight w:val="none"/>
          <w:lang w:val="en-US" w:eastAsia="zh-CN"/>
        </w:rPr>
        <w:t>招标</w:t>
      </w:r>
      <w:r>
        <w:rPr>
          <w:rFonts w:hint="eastAsia" w:ascii="宋体" w:hAnsi="宋体" w:cs="宋体"/>
          <w:sz w:val="24"/>
          <w:highlight w:val="none"/>
        </w:rPr>
        <w:t>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4月23日</w:t>
      </w:r>
      <w:r>
        <w:rPr>
          <w:rFonts w:hint="eastAsia" w:ascii="宋体" w:hAnsi="宋体" w:cs="宋体"/>
          <w:sz w:val="24"/>
          <w:highlight w:val="none"/>
        </w:rPr>
        <w:t xml:space="preserve">09时00分（北京时间）前递交响应文件。 </w:t>
      </w:r>
    </w:p>
    <w:p w14:paraId="6E8C64A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一、项目基本情况 </w:t>
      </w:r>
    </w:p>
    <w:p w14:paraId="77F153A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豫财磋商采购-2026-144</w:t>
      </w:r>
    </w:p>
    <w:p w14:paraId="10184ED6">
      <w:pPr>
        <w:spacing w:line="360" w:lineRule="auto"/>
        <w:ind w:firstLine="480" w:firstLineChars="200"/>
        <w:rPr>
          <w:rFonts w:ascii="宋体" w:hAnsi="宋体" w:cs="宋体"/>
          <w:sz w:val="24"/>
          <w:highlight w:val="none"/>
        </w:rPr>
      </w:pPr>
      <w:r>
        <w:rPr>
          <w:rFonts w:hint="eastAsia" w:ascii="宋体" w:hAnsi="宋体" w:cs="宋体"/>
          <w:sz w:val="24"/>
          <w:highlight w:val="none"/>
        </w:rPr>
        <w:t>2、项目名称：</w:t>
      </w:r>
      <w:r>
        <w:rPr>
          <w:rFonts w:hint="eastAsia" w:ascii="宋体" w:hAnsi="宋体" w:cs="宋体"/>
          <w:sz w:val="24"/>
          <w:highlight w:val="none"/>
          <w:lang w:eastAsia="zh-CN"/>
        </w:rPr>
        <w:t>河南省生态环境厅职工食堂承包服务项目</w:t>
      </w:r>
      <w:r>
        <w:rPr>
          <w:rFonts w:hint="eastAsia" w:ascii="宋体" w:hAnsi="宋体" w:cs="宋体"/>
          <w:sz w:val="24"/>
          <w:highlight w:val="none"/>
        </w:rPr>
        <w:t xml:space="preserve"> </w:t>
      </w:r>
    </w:p>
    <w:p w14:paraId="42F53E2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3、采购方式：竞争性磋商 </w:t>
      </w:r>
    </w:p>
    <w:p w14:paraId="0981DE50">
      <w:pPr>
        <w:spacing w:line="360" w:lineRule="auto"/>
        <w:ind w:firstLine="480" w:firstLineChars="200"/>
        <w:rPr>
          <w:rFonts w:ascii="宋体" w:hAnsi="宋体" w:cs="宋体"/>
          <w:sz w:val="24"/>
          <w:highlight w:val="none"/>
        </w:rPr>
      </w:pPr>
      <w:r>
        <w:rPr>
          <w:rFonts w:hint="eastAsia" w:ascii="宋体" w:hAnsi="宋体" w:cs="宋体"/>
          <w:sz w:val="24"/>
          <w:highlight w:val="none"/>
        </w:rPr>
        <w:t>4、预算金额：</w:t>
      </w:r>
      <w:r>
        <w:rPr>
          <w:rFonts w:hint="eastAsia" w:ascii="宋体" w:hAnsi="宋体" w:cs="宋体"/>
          <w:sz w:val="24"/>
          <w:highlight w:val="none"/>
          <w:lang w:eastAsia="zh-CN"/>
        </w:rPr>
        <w:t>3200000</w:t>
      </w:r>
      <w:r>
        <w:rPr>
          <w:rFonts w:hint="eastAsia" w:ascii="宋体" w:hAnsi="宋体" w:cs="宋体"/>
          <w:sz w:val="24"/>
          <w:highlight w:val="none"/>
        </w:rPr>
        <w:t xml:space="preserve">.00元 </w:t>
      </w:r>
    </w:p>
    <w:p w14:paraId="4BFC0639">
      <w:pPr>
        <w:spacing w:line="360" w:lineRule="auto"/>
        <w:ind w:firstLine="480" w:firstLineChars="200"/>
        <w:rPr>
          <w:rFonts w:ascii="宋体" w:hAnsi="宋体" w:cs="宋体"/>
          <w:sz w:val="24"/>
          <w:highlight w:val="none"/>
        </w:rPr>
      </w:pPr>
      <w:r>
        <w:rPr>
          <w:rFonts w:hint="eastAsia" w:ascii="宋体" w:hAnsi="宋体" w:cs="宋体"/>
          <w:sz w:val="24"/>
          <w:highlight w:val="none"/>
        </w:rPr>
        <w:t>最高限价：</w:t>
      </w:r>
      <w:r>
        <w:rPr>
          <w:rFonts w:hint="eastAsia" w:ascii="宋体" w:hAnsi="宋体" w:cs="宋体"/>
          <w:sz w:val="24"/>
          <w:highlight w:val="none"/>
          <w:lang w:eastAsia="zh-CN"/>
        </w:rPr>
        <w:t>3200000</w:t>
      </w:r>
      <w:r>
        <w:rPr>
          <w:rFonts w:hint="eastAsia" w:ascii="宋体" w:hAnsi="宋体" w:cs="宋体"/>
          <w:sz w:val="24"/>
          <w:highlight w:val="none"/>
        </w:rPr>
        <w:t xml:space="preserve">元  </w:t>
      </w:r>
    </w:p>
    <w:tbl>
      <w:tblPr>
        <w:tblStyle w:val="28"/>
        <w:tblW w:w="5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91"/>
        <w:gridCol w:w="2138"/>
        <w:gridCol w:w="1650"/>
        <w:gridCol w:w="1631"/>
        <w:gridCol w:w="1144"/>
        <w:gridCol w:w="1276"/>
      </w:tblGrid>
      <w:tr w14:paraId="050C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1" w:type="dxa"/>
            <w:vAlign w:val="center"/>
          </w:tcPr>
          <w:p w14:paraId="66BABFF0">
            <w:pPr>
              <w:widowControl/>
              <w:spacing w:line="432" w:lineRule="auto"/>
              <w:jc w:val="center"/>
              <w:rPr>
                <w:rFonts w:ascii="宋体" w:hAnsi="宋体" w:cs="宋体"/>
                <w:sz w:val="24"/>
                <w:highlight w:val="none"/>
              </w:rPr>
            </w:pPr>
            <w:r>
              <w:rPr>
                <w:rFonts w:hint="eastAsia" w:asciiTheme="minorEastAsia" w:hAnsiTheme="minorEastAsia" w:eastAsiaTheme="minorEastAsia" w:cstheme="minorEastAsia"/>
                <w:kern w:val="0"/>
                <w:sz w:val="24"/>
                <w:highlight w:val="none"/>
              </w:rPr>
              <w:t>序号</w:t>
            </w:r>
          </w:p>
        </w:tc>
        <w:tc>
          <w:tcPr>
            <w:tcW w:w="1391" w:type="dxa"/>
            <w:vAlign w:val="center"/>
          </w:tcPr>
          <w:p w14:paraId="0C597127">
            <w:pPr>
              <w:widowControl/>
              <w:spacing w:line="432" w:lineRule="auto"/>
              <w:jc w:val="center"/>
              <w:rPr>
                <w:rFonts w:ascii="宋体" w:hAnsi="宋体" w:cs="宋体"/>
                <w:sz w:val="24"/>
                <w:highlight w:val="none"/>
              </w:rPr>
            </w:pPr>
            <w:r>
              <w:rPr>
                <w:rFonts w:hint="eastAsia" w:asciiTheme="minorEastAsia" w:hAnsiTheme="minorEastAsia" w:eastAsiaTheme="minorEastAsia" w:cstheme="minorEastAsia"/>
                <w:kern w:val="0"/>
                <w:sz w:val="24"/>
                <w:highlight w:val="none"/>
              </w:rPr>
              <w:t>包号</w:t>
            </w:r>
          </w:p>
        </w:tc>
        <w:tc>
          <w:tcPr>
            <w:tcW w:w="2138" w:type="dxa"/>
            <w:vAlign w:val="center"/>
          </w:tcPr>
          <w:p w14:paraId="3F85344A">
            <w:pPr>
              <w:widowControl/>
              <w:spacing w:line="432" w:lineRule="auto"/>
              <w:jc w:val="center"/>
              <w:rPr>
                <w:rFonts w:ascii="宋体" w:hAnsi="宋体" w:cs="宋体"/>
                <w:sz w:val="24"/>
                <w:highlight w:val="none"/>
              </w:rPr>
            </w:pPr>
            <w:r>
              <w:rPr>
                <w:rFonts w:hint="eastAsia" w:asciiTheme="minorEastAsia" w:hAnsiTheme="minorEastAsia" w:eastAsiaTheme="minorEastAsia" w:cstheme="minorEastAsia"/>
                <w:kern w:val="0"/>
                <w:sz w:val="24"/>
                <w:highlight w:val="none"/>
              </w:rPr>
              <w:t>包名称</w:t>
            </w:r>
          </w:p>
        </w:tc>
        <w:tc>
          <w:tcPr>
            <w:tcW w:w="1650" w:type="dxa"/>
            <w:vAlign w:val="center"/>
          </w:tcPr>
          <w:p w14:paraId="4246428D">
            <w:pPr>
              <w:widowControl/>
              <w:spacing w:line="432" w:lineRule="auto"/>
              <w:jc w:val="center"/>
              <w:rPr>
                <w:rFonts w:ascii="宋体" w:hAnsi="宋体" w:cs="宋体"/>
                <w:sz w:val="24"/>
                <w:highlight w:val="none"/>
              </w:rPr>
            </w:pPr>
            <w:r>
              <w:rPr>
                <w:rFonts w:hint="eastAsia" w:asciiTheme="minorEastAsia" w:hAnsiTheme="minorEastAsia" w:eastAsiaTheme="minorEastAsia" w:cstheme="minorEastAsia"/>
                <w:kern w:val="0"/>
                <w:sz w:val="24"/>
                <w:highlight w:val="none"/>
              </w:rPr>
              <w:t>包预算（元）</w:t>
            </w:r>
          </w:p>
        </w:tc>
        <w:tc>
          <w:tcPr>
            <w:tcW w:w="1631" w:type="dxa"/>
            <w:vAlign w:val="center"/>
          </w:tcPr>
          <w:p w14:paraId="7AC950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包最高限价（元）</w:t>
            </w:r>
          </w:p>
        </w:tc>
        <w:tc>
          <w:tcPr>
            <w:tcW w:w="1144" w:type="dxa"/>
            <w:vAlign w:val="center"/>
          </w:tcPr>
          <w:p w14:paraId="1348D88F">
            <w:pPr>
              <w:keepNext w:val="0"/>
              <w:keepLines w:val="0"/>
              <w:widowControl/>
              <w:suppressLineNumbers w:val="0"/>
              <w:wordWrap/>
              <w:spacing w:before="0" w:beforeAutospacing="0" w:after="0" w:afterAutospacing="0" w:line="432" w:lineRule="auto"/>
              <w:ind w:left="0" w:leftChars="0" w:right="0" w:rightChars="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val="0"/>
                <w:bCs w:val="0"/>
                <w:i w:val="0"/>
                <w:iCs w:val="0"/>
                <w:caps w:val="0"/>
                <w:spacing w:val="0"/>
                <w:kern w:val="0"/>
                <w:sz w:val="24"/>
                <w:szCs w:val="24"/>
                <w:highlight w:val="none"/>
                <w:lang w:val="en-US" w:eastAsia="zh-CN" w:bidi="ar"/>
              </w:rPr>
              <w:t>是否专门面向中小企业</w:t>
            </w:r>
          </w:p>
        </w:tc>
        <w:tc>
          <w:tcPr>
            <w:tcW w:w="1276" w:type="dxa"/>
            <w:vAlign w:val="center"/>
          </w:tcPr>
          <w:p w14:paraId="06E2E3FB">
            <w:pPr>
              <w:keepNext w:val="0"/>
              <w:keepLines w:val="0"/>
              <w:widowControl/>
              <w:suppressLineNumbers w:val="0"/>
              <w:wordWrap/>
              <w:spacing w:before="0" w:beforeAutospacing="0" w:after="0" w:afterAutospacing="0" w:line="432" w:lineRule="auto"/>
              <w:ind w:left="0" w:leftChars="0" w:right="0" w:rightChars="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val="0"/>
                <w:bCs w:val="0"/>
                <w:i w:val="0"/>
                <w:iCs w:val="0"/>
                <w:caps w:val="0"/>
                <w:spacing w:val="0"/>
                <w:kern w:val="0"/>
                <w:sz w:val="24"/>
                <w:szCs w:val="24"/>
                <w:highlight w:val="none"/>
                <w:lang w:val="en-US" w:eastAsia="zh-CN" w:bidi="ar"/>
              </w:rPr>
              <w:t>采购预留金额（元）</w:t>
            </w:r>
          </w:p>
        </w:tc>
      </w:tr>
      <w:tr w14:paraId="2968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71" w:type="dxa"/>
            <w:vAlign w:val="center"/>
          </w:tcPr>
          <w:p w14:paraId="6EFF10B3">
            <w:pPr>
              <w:widowControl/>
              <w:spacing w:line="432" w:lineRule="auto"/>
              <w:jc w:val="center"/>
              <w:rPr>
                <w:rFonts w:ascii="宋体" w:hAnsi="宋体" w:cs="宋体"/>
                <w:sz w:val="24"/>
                <w:highlight w:val="none"/>
              </w:rPr>
            </w:pPr>
            <w:r>
              <w:rPr>
                <w:rFonts w:hint="eastAsia" w:asciiTheme="minorEastAsia" w:hAnsiTheme="minorEastAsia" w:eastAsiaTheme="minorEastAsia" w:cstheme="minorEastAsia"/>
                <w:kern w:val="0"/>
                <w:sz w:val="24"/>
                <w:highlight w:val="none"/>
              </w:rPr>
              <w:t>1</w:t>
            </w:r>
          </w:p>
        </w:tc>
        <w:tc>
          <w:tcPr>
            <w:tcW w:w="1391" w:type="dxa"/>
            <w:vAlign w:val="center"/>
          </w:tcPr>
          <w:p w14:paraId="6B0566FF">
            <w:pPr>
              <w:widowControl/>
              <w:spacing w:line="432" w:lineRule="auto"/>
              <w:jc w:val="center"/>
              <w:rPr>
                <w:rFonts w:ascii="宋体" w:hAnsi="宋体" w:cs="宋体"/>
                <w:sz w:val="24"/>
                <w:highlight w:val="none"/>
              </w:rPr>
            </w:pPr>
            <w:r>
              <w:rPr>
                <w:rFonts w:hint="default" w:ascii="宋体" w:hAnsi="宋体" w:cs="宋体"/>
                <w:sz w:val="24"/>
                <w:highlight w:val="none"/>
              </w:rPr>
              <w:t>豫政采(2)20260356-1</w:t>
            </w:r>
          </w:p>
        </w:tc>
        <w:tc>
          <w:tcPr>
            <w:tcW w:w="2138" w:type="dxa"/>
            <w:vAlign w:val="center"/>
          </w:tcPr>
          <w:p w14:paraId="6225488F">
            <w:pPr>
              <w:widowControl/>
              <w:spacing w:line="432" w:lineRule="auto"/>
              <w:jc w:val="center"/>
              <w:rPr>
                <w:rFonts w:hint="eastAsia" w:ascii="宋体" w:hAnsi="宋体" w:cs="宋体" w:eastAsiaTheme="minorEastAsia"/>
                <w:sz w:val="24"/>
                <w:highlight w:val="none"/>
                <w:lang w:eastAsia="zh-CN"/>
              </w:rPr>
            </w:pPr>
            <w:r>
              <w:rPr>
                <w:rFonts w:hint="eastAsia" w:asciiTheme="minorEastAsia" w:hAnsiTheme="minorEastAsia" w:eastAsiaTheme="minorEastAsia" w:cstheme="minorEastAsia"/>
                <w:kern w:val="0"/>
                <w:sz w:val="24"/>
                <w:highlight w:val="none"/>
                <w:lang w:eastAsia="zh-CN"/>
              </w:rPr>
              <w:t>河南省生态环境厅职工食堂承包服务项目</w:t>
            </w:r>
          </w:p>
        </w:tc>
        <w:tc>
          <w:tcPr>
            <w:tcW w:w="1650" w:type="dxa"/>
            <w:vAlign w:val="center"/>
          </w:tcPr>
          <w:p w14:paraId="6F351751">
            <w:pPr>
              <w:widowControl/>
              <w:spacing w:line="432" w:lineRule="auto"/>
              <w:jc w:val="center"/>
              <w:rPr>
                <w:rFonts w:hint="eastAsia" w:ascii="宋体" w:hAnsi="宋体" w:cs="宋体" w:eastAsiaTheme="minorEastAsia"/>
                <w:sz w:val="24"/>
                <w:highlight w:val="none"/>
                <w:lang w:eastAsia="zh-CN"/>
              </w:rPr>
            </w:pPr>
            <w:r>
              <w:rPr>
                <w:rFonts w:hint="eastAsia" w:asciiTheme="minorEastAsia" w:hAnsiTheme="minorEastAsia" w:eastAsiaTheme="minorEastAsia" w:cstheme="minorEastAsia"/>
                <w:kern w:val="0"/>
                <w:sz w:val="24"/>
                <w:highlight w:val="none"/>
                <w:lang w:eastAsia="zh-CN"/>
              </w:rPr>
              <w:t>3200000</w:t>
            </w:r>
          </w:p>
        </w:tc>
        <w:tc>
          <w:tcPr>
            <w:tcW w:w="1631" w:type="dxa"/>
            <w:vAlign w:val="center"/>
          </w:tcPr>
          <w:p w14:paraId="24871B1A">
            <w:pPr>
              <w:widowControl/>
              <w:spacing w:line="432" w:lineRule="auto"/>
              <w:jc w:val="center"/>
              <w:rPr>
                <w:rFonts w:hint="eastAsia" w:ascii="宋体" w:hAnsi="宋体" w:cs="宋体" w:eastAsiaTheme="minorEastAsia"/>
                <w:sz w:val="24"/>
                <w:highlight w:val="none"/>
                <w:lang w:eastAsia="zh-CN"/>
              </w:rPr>
            </w:pPr>
            <w:r>
              <w:rPr>
                <w:rFonts w:hint="eastAsia" w:asciiTheme="minorEastAsia" w:hAnsiTheme="minorEastAsia" w:eastAsiaTheme="minorEastAsia" w:cstheme="minorEastAsia"/>
                <w:kern w:val="0"/>
                <w:sz w:val="24"/>
                <w:highlight w:val="none"/>
                <w:lang w:eastAsia="zh-CN"/>
              </w:rPr>
              <w:t>3200000</w:t>
            </w:r>
          </w:p>
        </w:tc>
        <w:tc>
          <w:tcPr>
            <w:tcW w:w="1144" w:type="dxa"/>
            <w:vAlign w:val="center"/>
          </w:tcPr>
          <w:p w14:paraId="60B35154">
            <w:pPr>
              <w:widowControl/>
              <w:spacing w:line="432" w:lineRule="auto"/>
              <w:jc w:val="center"/>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是</w:t>
            </w:r>
          </w:p>
        </w:tc>
        <w:tc>
          <w:tcPr>
            <w:tcW w:w="1276" w:type="dxa"/>
            <w:vAlign w:val="center"/>
          </w:tcPr>
          <w:p w14:paraId="0EE78739">
            <w:pPr>
              <w:widowControl/>
              <w:spacing w:line="432"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3200000</w:t>
            </w:r>
          </w:p>
          <w:p w14:paraId="4D686AF3">
            <w:pPr>
              <w:widowControl/>
              <w:spacing w:line="432" w:lineRule="auto"/>
              <w:jc w:val="center"/>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i w:val="0"/>
                <w:iCs w:val="0"/>
                <w:caps w:val="0"/>
                <w:spacing w:val="0"/>
                <w:kern w:val="0"/>
                <w:sz w:val="24"/>
                <w:szCs w:val="24"/>
                <w:highlight w:val="none"/>
                <w:shd w:val="clear"/>
              </w:rPr>
              <w:t>其中小微企业采购金额：</w:t>
            </w:r>
            <w:r>
              <w:rPr>
                <w:rFonts w:hint="eastAsia" w:asciiTheme="minorEastAsia" w:hAnsiTheme="minorEastAsia" w:eastAsiaTheme="minorEastAsia" w:cstheme="minorEastAsia"/>
                <w:i w:val="0"/>
                <w:iCs w:val="0"/>
                <w:caps w:val="0"/>
                <w:spacing w:val="0"/>
                <w:kern w:val="0"/>
                <w:sz w:val="24"/>
                <w:szCs w:val="24"/>
                <w:highlight w:val="none"/>
                <w:shd w:val="clear"/>
                <w:lang w:val="en-US" w:eastAsia="zh-CN"/>
              </w:rPr>
              <w:t>3200000</w:t>
            </w:r>
          </w:p>
        </w:tc>
      </w:tr>
    </w:tbl>
    <w:p w14:paraId="79EFAB6F">
      <w:pPr>
        <w:spacing w:line="360" w:lineRule="auto"/>
        <w:ind w:firstLine="480" w:firstLineChars="200"/>
        <w:rPr>
          <w:rFonts w:ascii="宋体" w:hAnsi="宋体" w:cs="宋体"/>
          <w:sz w:val="24"/>
          <w:highlight w:val="none"/>
        </w:rPr>
      </w:pPr>
    </w:p>
    <w:p w14:paraId="35C51D5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5、采购需求（包括但不限于标的名称、数量、简要技术需求或服务要求等） </w:t>
      </w:r>
    </w:p>
    <w:p w14:paraId="366099D5">
      <w:pPr>
        <w:spacing w:line="360" w:lineRule="auto"/>
        <w:ind w:firstLine="480" w:firstLineChars="200"/>
        <w:rPr>
          <w:rFonts w:hint="eastAsia" w:ascii="宋体" w:hAnsi="宋体" w:cs="宋体" w:eastAsiaTheme="minorEastAsia"/>
          <w:sz w:val="24"/>
          <w:highlight w:val="none"/>
          <w:lang w:val="en-US" w:eastAsia="zh-CN"/>
        </w:rPr>
      </w:pPr>
      <w:r>
        <w:rPr>
          <w:rFonts w:hint="eastAsia" w:ascii="宋体" w:hAnsi="宋体" w:cs="宋体"/>
          <w:sz w:val="24"/>
          <w:highlight w:val="none"/>
        </w:rPr>
        <w:t>5.1 采购内容：</w:t>
      </w:r>
      <w:r>
        <w:rPr>
          <w:rFonts w:hint="eastAsia" w:asciiTheme="minorEastAsia" w:hAnsiTheme="minorEastAsia" w:eastAsiaTheme="minorEastAsia" w:cstheme="minorEastAsia"/>
          <w:kern w:val="0"/>
          <w:sz w:val="24"/>
          <w:highlight w:val="none"/>
          <w:lang w:eastAsia="zh-CN"/>
        </w:rPr>
        <w:t>职工食堂承包服务。</w:t>
      </w:r>
    </w:p>
    <w:p w14:paraId="79AD366B">
      <w:pPr>
        <w:spacing w:line="360" w:lineRule="auto"/>
        <w:ind w:firstLine="480" w:firstLineChars="200"/>
        <w:rPr>
          <w:rFonts w:ascii="宋体" w:hAnsi="宋体" w:cs="宋体"/>
          <w:sz w:val="24"/>
          <w:highlight w:val="none"/>
        </w:rPr>
      </w:pPr>
      <w:r>
        <w:rPr>
          <w:rFonts w:hint="eastAsia" w:ascii="宋体" w:hAnsi="宋体" w:cs="宋体"/>
          <w:sz w:val="24"/>
          <w:highlight w:val="none"/>
        </w:rPr>
        <w:t>5.2服务质量：</w:t>
      </w:r>
      <w:r>
        <w:rPr>
          <w:sz w:val="24"/>
          <w:highlight w:val="none"/>
        </w:rPr>
        <w:t>质量要求符合国家或行业规定的合格标准，满足采购人提出的技术标准及要求</w:t>
      </w:r>
      <w:r>
        <w:rPr>
          <w:rFonts w:hint="eastAsia" w:ascii="宋体" w:hAnsi="宋体" w:cs="宋体"/>
          <w:sz w:val="24"/>
          <w:highlight w:val="none"/>
        </w:rPr>
        <w:t>。</w:t>
      </w:r>
    </w:p>
    <w:p w14:paraId="3EFD8CB9">
      <w:pPr>
        <w:spacing w:line="360" w:lineRule="auto"/>
        <w:ind w:firstLine="480" w:firstLineChars="200"/>
        <w:rPr>
          <w:rFonts w:ascii="宋体" w:hAnsi="宋体" w:cs="宋体"/>
          <w:sz w:val="24"/>
          <w:highlight w:val="none"/>
        </w:rPr>
      </w:pPr>
      <w:r>
        <w:rPr>
          <w:rFonts w:hint="eastAsia" w:ascii="宋体" w:hAnsi="宋体" w:cs="宋体"/>
          <w:sz w:val="24"/>
          <w:highlight w:val="none"/>
        </w:rPr>
        <w:t>5.3 服务期限：</w:t>
      </w:r>
      <w:r>
        <w:rPr>
          <w:rFonts w:hint="eastAsia" w:ascii="宋体" w:hAnsi="宋体" w:cs="宋体"/>
          <w:sz w:val="24"/>
          <w:highlight w:val="none"/>
          <w:lang w:val="en-US" w:eastAsia="zh-CN"/>
        </w:rPr>
        <w:t>2年</w:t>
      </w:r>
      <w:r>
        <w:rPr>
          <w:rFonts w:hint="eastAsia" w:ascii="宋体" w:hAnsi="宋体" w:cs="宋体"/>
          <w:sz w:val="24"/>
          <w:highlight w:val="none"/>
        </w:rPr>
        <w:t>；</w:t>
      </w:r>
    </w:p>
    <w:p w14:paraId="16BBCF3A">
      <w:pPr>
        <w:spacing w:line="360" w:lineRule="auto"/>
        <w:ind w:firstLine="480" w:firstLineChars="200"/>
        <w:rPr>
          <w:rFonts w:ascii="宋体" w:hAnsi="宋体" w:cs="宋体"/>
          <w:sz w:val="24"/>
          <w:highlight w:val="none"/>
        </w:rPr>
      </w:pPr>
      <w:r>
        <w:rPr>
          <w:rFonts w:hint="eastAsia" w:ascii="宋体" w:hAnsi="宋体" w:cs="宋体"/>
          <w:sz w:val="24"/>
          <w:highlight w:val="none"/>
        </w:rPr>
        <w:t>5.4 服务地点：河南省生态环境厅（郑州市郑东新区学理路10号）；</w:t>
      </w:r>
    </w:p>
    <w:p w14:paraId="204E0444">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6、合同履行期限：同服务期限 </w:t>
      </w:r>
    </w:p>
    <w:p w14:paraId="7E3A340E">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7、本项目是否接受联合体投标：</w:t>
      </w:r>
      <w:r>
        <w:rPr>
          <w:rFonts w:hint="eastAsia" w:ascii="宋体" w:hAnsi="宋体" w:cs="宋体"/>
          <w:sz w:val="24"/>
          <w:highlight w:val="none"/>
          <w:lang w:eastAsia="zh-CN"/>
        </w:rPr>
        <w:t>否</w:t>
      </w:r>
      <w:r>
        <w:rPr>
          <w:rFonts w:hint="eastAsia" w:ascii="宋体" w:hAnsi="宋体" w:cs="宋体"/>
          <w:sz w:val="24"/>
          <w:highlight w:val="none"/>
        </w:rPr>
        <w:t xml:space="preserve"> </w:t>
      </w:r>
    </w:p>
    <w:p w14:paraId="7D144FD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8、是否接受进口产品：否 </w:t>
      </w:r>
    </w:p>
    <w:p w14:paraId="1CCFAC34">
      <w:pPr>
        <w:spacing w:line="360" w:lineRule="auto"/>
        <w:ind w:firstLine="480" w:firstLineChars="200"/>
        <w:rPr>
          <w:rFonts w:ascii="宋体" w:hAnsi="宋体" w:cs="宋体"/>
          <w:sz w:val="24"/>
          <w:highlight w:val="none"/>
        </w:rPr>
      </w:pPr>
      <w:r>
        <w:rPr>
          <w:rFonts w:hint="eastAsia" w:ascii="宋体" w:hAnsi="宋体" w:cs="宋体"/>
          <w:sz w:val="24"/>
          <w:highlight w:val="none"/>
        </w:rPr>
        <w:t>9、是否专门面向中小企业：</w:t>
      </w:r>
      <w:r>
        <w:rPr>
          <w:rFonts w:hint="eastAsia" w:ascii="宋体" w:hAnsi="宋体" w:cs="宋体"/>
          <w:sz w:val="24"/>
          <w:highlight w:val="none"/>
          <w:lang w:eastAsia="zh-CN"/>
        </w:rPr>
        <w:t>是</w:t>
      </w:r>
      <w:r>
        <w:rPr>
          <w:rFonts w:hint="eastAsia" w:ascii="宋体" w:hAnsi="宋体" w:cs="宋体"/>
          <w:sz w:val="24"/>
          <w:highlight w:val="none"/>
        </w:rPr>
        <w:t xml:space="preserve"> </w:t>
      </w:r>
    </w:p>
    <w:p w14:paraId="1CF37388">
      <w:pPr>
        <w:pStyle w:val="25"/>
        <w:spacing w:after="0" w:line="560" w:lineRule="exact"/>
        <w:ind w:firstLine="480" w:firstLineChars="200"/>
        <w:rPr>
          <w:sz w:val="24"/>
          <w:szCs w:val="24"/>
          <w:highlight w:val="none"/>
        </w:rPr>
      </w:pPr>
      <w:r>
        <w:rPr>
          <w:rFonts w:hint="eastAsia"/>
          <w:sz w:val="24"/>
          <w:szCs w:val="24"/>
          <w:highlight w:val="none"/>
        </w:rPr>
        <w:t xml:space="preserve">二、申请人资格要求： </w:t>
      </w:r>
    </w:p>
    <w:p w14:paraId="3EDA1443">
      <w:pPr>
        <w:pStyle w:val="25"/>
        <w:spacing w:after="0" w:line="560" w:lineRule="exact"/>
        <w:ind w:firstLine="480" w:firstLineChars="200"/>
        <w:rPr>
          <w:sz w:val="24"/>
          <w:szCs w:val="24"/>
          <w:highlight w:val="none"/>
        </w:rPr>
      </w:pPr>
      <w:r>
        <w:rPr>
          <w:rFonts w:hint="eastAsia"/>
          <w:sz w:val="24"/>
          <w:szCs w:val="24"/>
          <w:highlight w:val="none"/>
        </w:rPr>
        <w:t>1.满足《中华人民共和国政府采购法》第二十二条规定；</w:t>
      </w:r>
    </w:p>
    <w:p w14:paraId="134EDF62">
      <w:pPr>
        <w:pStyle w:val="25"/>
        <w:spacing w:after="0" w:line="560" w:lineRule="exact"/>
        <w:ind w:firstLine="480" w:firstLineChars="200"/>
        <w:rPr>
          <w:sz w:val="24"/>
          <w:szCs w:val="24"/>
          <w:highlight w:val="none"/>
        </w:rPr>
      </w:pPr>
      <w:r>
        <w:rPr>
          <w:rFonts w:hint="eastAsia"/>
          <w:sz w:val="24"/>
          <w:szCs w:val="24"/>
          <w:highlight w:val="none"/>
        </w:rPr>
        <w:t>2.落实政府采购政策满足的资格要求：本项目专门面向中小企业采购，不再执行价格评审优惠的扶持政策。</w:t>
      </w:r>
    </w:p>
    <w:p w14:paraId="29C14807">
      <w:pPr>
        <w:pStyle w:val="25"/>
        <w:spacing w:after="0" w:line="560" w:lineRule="exact"/>
        <w:ind w:firstLine="480" w:firstLineChars="200"/>
        <w:rPr>
          <w:sz w:val="24"/>
          <w:szCs w:val="24"/>
          <w:highlight w:val="none"/>
        </w:rPr>
      </w:pPr>
      <w:r>
        <w:rPr>
          <w:rFonts w:hint="eastAsia"/>
          <w:sz w:val="24"/>
          <w:szCs w:val="24"/>
          <w:highlight w:val="none"/>
        </w:rPr>
        <w:t>3.本项目的特定资格要求</w:t>
      </w:r>
    </w:p>
    <w:p w14:paraId="32083443">
      <w:pPr>
        <w:pStyle w:val="25"/>
        <w:spacing w:after="0" w:line="560" w:lineRule="exact"/>
        <w:ind w:firstLine="480" w:firstLineChars="200"/>
        <w:jc w:val="both"/>
        <w:rPr>
          <w:rFonts w:hint="eastAsia"/>
          <w:sz w:val="24"/>
          <w:szCs w:val="24"/>
          <w:highlight w:val="none"/>
        </w:rPr>
      </w:pPr>
      <w:r>
        <w:rPr>
          <w:rFonts w:hint="eastAsia"/>
          <w:sz w:val="24"/>
          <w:szCs w:val="24"/>
          <w:highlight w:val="none"/>
        </w:rPr>
        <w:t>3.1 供应商应具有市场监督管理部门颁发的《食品经营许可证》。</w:t>
      </w:r>
    </w:p>
    <w:p w14:paraId="1E047C7E">
      <w:pPr>
        <w:pStyle w:val="25"/>
        <w:spacing w:after="0" w:line="560" w:lineRule="exact"/>
        <w:ind w:firstLine="480" w:firstLineChars="200"/>
        <w:rPr>
          <w:sz w:val="24"/>
          <w:szCs w:val="24"/>
          <w:highlight w:val="none"/>
        </w:rPr>
      </w:pPr>
      <w:r>
        <w:rPr>
          <w:rFonts w:hint="eastAsia"/>
          <w:sz w:val="24"/>
          <w:szCs w:val="24"/>
          <w:highlight w:val="none"/>
          <w:lang w:val="en-US" w:eastAsia="zh-CN"/>
        </w:rPr>
        <w:t xml:space="preserve">3.2 </w:t>
      </w:r>
      <w:r>
        <w:rPr>
          <w:rFonts w:hint="eastAsia"/>
          <w:sz w:val="24"/>
          <w:szCs w:val="24"/>
          <w:highlight w:val="none"/>
        </w:rPr>
        <w:t>根据《关于在政府采购活动中查询及使用信用记录有关问题的通知》(财库[2016]125号)的规定，对列入失信被执行人、税收违法黑名单、政府采购严重违法失信行为记录名单的供应商，拒绝参与本项目政府采购活动；【查询渠道：“中国执行信息公开网（zxgk.court.gov.cn）（信用中国网站可跳转）”查询：失信被执行人名单；“信用中国（http://www.creditchina.gov.cn/”网站中查询“重大税收违法案件当事人名单”），“中国政府采购网（www.ccgp.gov.cn）”网站中查询“政府采购严重违法失信行为记录名单”。】；注：采购代理机构在开标当天将对所有参与本项目投标的供应商的信用情况（失信被执行人、重大税收违法案件当事人名单、政府采购严重违法失信行为记录名单）进行查询、打印留存。若在开标当天查询到供应商有相关负面信息的，则该供应商的投标视为无效；</w:t>
      </w:r>
    </w:p>
    <w:p w14:paraId="27030D9E">
      <w:pPr>
        <w:pStyle w:val="25"/>
        <w:spacing w:after="0" w:line="560" w:lineRule="exact"/>
        <w:ind w:firstLine="480" w:firstLineChars="200"/>
        <w:rPr>
          <w:rFonts w:hint="eastAsia"/>
          <w:sz w:val="24"/>
          <w:szCs w:val="24"/>
          <w:highlight w:val="none"/>
        </w:rPr>
      </w:pPr>
      <w:r>
        <w:rPr>
          <w:rFonts w:hint="eastAsia"/>
          <w:sz w:val="24"/>
          <w:szCs w:val="24"/>
          <w:highlight w:val="none"/>
        </w:rPr>
        <w:t>3.3与采购人、采购人就本次采购的项目委托的代理机构以及上述机构的附属机构没有行政或经济关联。</w:t>
      </w:r>
    </w:p>
    <w:p w14:paraId="01417164">
      <w:pPr>
        <w:pStyle w:val="25"/>
        <w:spacing w:after="0" w:line="560" w:lineRule="exact"/>
        <w:ind w:firstLine="480" w:firstLineChars="200"/>
        <w:rPr>
          <w:sz w:val="24"/>
          <w:szCs w:val="24"/>
          <w:highlight w:val="none"/>
        </w:rPr>
      </w:pPr>
      <w:r>
        <w:rPr>
          <w:rFonts w:hint="eastAsia"/>
          <w:sz w:val="24"/>
          <w:szCs w:val="24"/>
          <w:highlight w:val="none"/>
        </w:rPr>
        <w:t>3.4单位负责人为同一人或者存在直接控股、管理关系的不同供应商，不得参加同一合同项下的政府采购活动。</w:t>
      </w:r>
    </w:p>
    <w:p w14:paraId="3A3A575E">
      <w:pPr>
        <w:pStyle w:val="25"/>
        <w:spacing w:after="0" w:line="560" w:lineRule="exact"/>
        <w:ind w:firstLine="480" w:firstLineChars="200"/>
        <w:rPr>
          <w:sz w:val="24"/>
          <w:szCs w:val="24"/>
          <w:highlight w:val="none"/>
        </w:rPr>
      </w:pPr>
      <w:r>
        <w:rPr>
          <w:rFonts w:hint="eastAsia"/>
          <w:sz w:val="24"/>
          <w:szCs w:val="24"/>
          <w:highlight w:val="none"/>
        </w:rPr>
        <w:t xml:space="preserve"> 三、获取采购文件 </w:t>
      </w:r>
    </w:p>
    <w:p w14:paraId="67D85886">
      <w:pPr>
        <w:spacing w:line="360" w:lineRule="auto"/>
        <w:ind w:firstLine="480" w:firstLineChars="200"/>
        <w:rPr>
          <w:rFonts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eastAsia="zh-CN"/>
        </w:rPr>
        <w:t>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9</w:t>
      </w:r>
      <w:r>
        <w:rPr>
          <w:rFonts w:hint="eastAsia" w:ascii="宋体" w:hAnsi="宋体" w:cs="宋体"/>
          <w:sz w:val="24"/>
          <w:highlight w:val="none"/>
        </w:rPr>
        <w:t xml:space="preserve">日 至 </w:t>
      </w:r>
      <w:r>
        <w:rPr>
          <w:rFonts w:hint="eastAsia" w:ascii="宋体" w:hAnsi="宋体" w:cs="宋体"/>
          <w:sz w:val="24"/>
          <w:highlight w:val="none"/>
          <w:lang w:eastAsia="zh-CN"/>
        </w:rPr>
        <w:t>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 xml:space="preserve">日，每天上午00:00至12:00，下午12:00至23:59（北京时间，法定节假日除外。） </w:t>
      </w:r>
    </w:p>
    <w:p w14:paraId="4EDB928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2.地点：登录《河南省公共资源交易中心》网站 </w:t>
      </w:r>
    </w:p>
    <w:p w14:paraId="247E5475">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方式：凭单位身份认证锁（CA数字证书）下载获取竞争性磋商文件，供应商（投标人）未按规定在《河南省公共资源交易中心》网站上下载竞争性磋商文件的，其响应文件将被拒绝。供应商（投标人）需要完成信息登记及CA数字证书办理，才能通过河南省公共资源交易平台参与交易活动。登录河南省公共资源交易中心网站“公共服务”→“办事指南”专区查阅具体办理方法。 </w:t>
      </w:r>
    </w:p>
    <w:p w14:paraId="67D4D75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4.售价：0元 </w:t>
      </w:r>
    </w:p>
    <w:p w14:paraId="41C1334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四、响应文件提交 </w:t>
      </w:r>
    </w:p>
    <w:p w14:paraId="23E04A18">
      <w:pPr>
        <w:spacing w:line="360" w:lineRule="auto"/>
        <w:ind w:firstLine="480" w:firstLineChars="200"/>
        <w:rPr>
          <w:rFonts w:ascii="宋体" w:hAnsi="宋体" w:cs="宋体"/>
          <w:sz w:val="24"/>
          <w:highlight w:val="none"/>
        </w:rPr>
      </w:pPr>
      <w:r>
        <w:rPr>
          <w:rFonts w:hint="eastAsia" w:ascii="宋体" w:hAnsi="宋体" w:cs="宋体"/>
          <w:sz w:val="24"/>
          <w:highlight w:val="none"/>
        </w:rPr>
        <w:t>1.截止时间：</w:t>
      </w:r>
      <w:r>
        <w:rPr>
          <w:rFonts w:hint="eastAsia" w:ascii="宋体" w:hAnsi="宋体" w:cs="宋体"/>
          <w:sz w:val="24"/>
          <w:highlight w:val="none"/>
          <w:lang w:eastAsia="zh-CN"/>
        </w:rPr>
        <w:t>2026年</w:t>
      </w:r>
      <w:r>
        <w:rPr>
          <w:rFonts w:hint="eastAsia" w:ascii="宋体" w:hAnsi="宋体" w:cs="宋体"/>
          <w:sz w:val="24"/>
          <w:highlight w:val="none"/>
          <w:lang w:val="en-US" w:eastAsia="zh-CN"/>
        </w:rPr>
        <w:t>4月23日</w:t>
      </w:r>
      <w:r>
        <w:rPr>
          <w:rFonts w:hint="eastAsia" w:ascii="宋体" w:hAnsi="宋体" w:cs="宋体"/>
          <w:sz w:val="24"/>
          <w:highlight w:val="none"/>
        </w:rPr>
        <w:t xml:space="preserve">09时00分（北京时间） </w:t>
      </w:r>
    </w:p>
    <w:p w14:paraId="7AB4A295">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2.地点：加密电子响应文件须在响应文件提交截止时间前通过“河南省公共资源交易中心”电子交易平台上传，加密的电子响应文件逾期上传或未上传至指定地点的，采购人不予受理。 </w:t>
      </w:r>
    </w:p>
    <w:p w14:paraId="7772957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五、响应文件开启 </w:t>
      </w:r>
    </w:p>
    <w:p w14:paraId="20ABA90F">
      <w:pPr>
        <w:spacing w:line="360" w:lineRule="auto"/>
        <w:ind w:firstLine="480" w:firstLineChars="200"/>
        <w:rPr>
          <w:rFonts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eastAsia="zh-CN"/>
        </w:rPr>
        <w:t>2026年</w:t>
      </w:r>
      <w:r>
        <w:rPr>
          <w:rFonts w:hint="eastAsia" w:ascii="宋体" w:hAnsi="宋体" w:cs="宋体"/>
          <w:sz w:val="24"/>
          <w:highlight w:val="none"/>
          <w:lang w:val="en-US" w:eastAsia="zh-CN"/>
        </w:rPr>
        <w:t>4月23日</w:t>
      </w:r>
      <w:r>
        <w:rPr>
          <w:rFonts w:hint="eastAsia" w:ascii="宋体" w:hAnsi="宋体" w:cs="宋体"/>
          <w:sz w:val="24"/>
          <w:highlight w:val="none"/>
        </w:rPr>
        <w:t xml:space="preserve">09时00分（北京时间） </w:t>
      </w:r>
    </w:p>
    <w:p w14:paraId="74C3BEA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2.地点：加密电子响应文件须在响应文件提交截止时间前通过“河南省公共资源交易中心”电子交易平台上传，加密的电子响应文件逾期上传或未上传至指定地点的，采购人不予受理。 </w:t>
      </w:r>
    </w:p>
    <w:p w14:paraId="01297D83">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六、发布公告的媒介及招标公告期限 </w:t>
      </w:r>
    </w:p>
    <w:p w14:paraId="460F0C7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本次招标公告在《河南省政府采购网》《河南省公共资源交易中心》上发布，招标公告期限为三个工作日 。  </w:t>
      </w:r>
    </w:p>
    <w:p w14:paraId="5372E683">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七、其他补充事宜 </w:t>
      </w:r>
    </w:p>
    <w:p w14:paraId="30D460D4">
      <w:pPr>
        <w:spacing w:line="360" w:lineRule="auto"/>
        <w:ind w:firstLine="480" w:firstLineChars="200"/>
        <w:rPr>
          <w:rFonts w:ascii="宋体" w:hAnsi="宋体" w:cs="宋体"/>
          <w:sz w:val="24"/>
          <w:highlight w:val="none"/>
        </w:rPr>
      </w:pPr>
      <w:r>
        <w:rPr>
          <w:rFonts w:hint="eastAsia" w:ascii="宋体" w:hAnsi="宋体" w:cs="宋体"/>
          <w:sz w:val="24"/>
          <w:highlight w:val="none"/>
        </w:rPr>
        <w:t>1.代理服务费收费标准：本项目招标代理服务费由成交人在领取成交通知书前一次性支付，以成交人投标总价为基数，成交人在领取成交通知书前参照豫招协[2023]002号文规定的标准一次性向采购代理机构支付服务费。</w:t>
      </w:r>
      <w:r>
        <w:rPr>
          <w:rFonts w:hint="eastAsia" w:ascii="宋体" w:hAnsi="宋体" w:cs="宋体"/>
          <w:sz w:val="24"/>
          <w:highlight w:val="none"/>
        </w:rPr>
        <w:br w:type="textWrapping"/>
      </w:r>
      <w:r>
        <w:rPr>
          <w:rFonts w:hint="eastAsia" w:ascii="宋体" w:hAnsi="宋体" w:cs="宋体"/>
          <w:sz w:val="24"/>
          <w:highlight w:val="none"/>
        </w:rPr>
        <w:t xml:space="preserve">   2.本项目采购标的对应的中小企业划分标准所属行业：</w:t>
      </w:r>
      <w:r>
        <w:rPr>
          <w:rFonts w:hint="eastAsia" w:ascii="宋体" w:hAnsi="宋体" w:cs="宋体"/>
          <w:sz w:val="24"/>
          <w:highlight w:val="none"/>
          <w:lang w:eastAsia="zh-CN"/>
        </w:rPr>
        <w:t>餐饮业</w:t>
      </w:r>
      <w:r>
        <w:rPr>
          <w:rFonts w:hint="eastAsia" w:ascii="宋体" w:hAnsi="宋体" w:cs="宋体"/>
          <w:sz w:val="24"/>
          <w:highlight w:val="none"/>
        </w:rPr>
        <w:t>。</w:t>
      </w:r>
    </w:p>
    <w:p w14:paraId="0E1842A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八、凡对本次招标提出询问，请按照以下方式联系 </w:t>
      </w:r>
    </w:p>
    <w:p w14:paraId="5C506DF4">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采购人信息 </w:t>
      </w:r>
    </w:p>
    <w:p w14:paraId="007D5C2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名称：河南省生态环境厅 </w:t>
      </w:r>
    </w:p>
    <w:p w14:paraId="1A431243">
      <w:pPr>
        <w:spacing w:line="360" w:lineRule="auto"/>
        <w:ind w:firstLine="480" w:firstLineChars="200"/>
        <w:rPr>
          <w:rFonts w:ascii="宋体" w:hAnsi="宋体" w:cs="宋体"/>
          <w:sz w:val="24"/>
          <w:highlight w:val="none"/>
        </w:rPr>
      </w:pPr>
      <w:r>
        <w:rPr>
          <w:rFonts w:hint="eastAsia" w:ascii="宋体" w:hAnsi="宋体" w:cs="宋体"/>
          <w:sz w:val="24"/>
          <w:highlight w:val="none"/>
        </w:rPr>
        <w:t>地址：郑州市郑东新区学理路10号</w:t>
      </w:r>
    </w:p>
    <w:p w14:paraId="51E5AF63">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柳二彪</w:t>
      </w:r>
    </w:p>
    <w:p w14:paraId="0B7AB6D5">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0371-</w:t>
      </w:r>
      <w:r>
        <w:rPr>
          <w:rFonts w:hint="eastAsia" w:ascii="宋体" w:hAnsi="宋体" w:cs="宋体"/>
          <w:sz w:val="24"/>
          <w:highlight w:val="none"/>
        </w:rPr>
        <w:t>66309541</w:t>
      </w:r>
    </w:p>
    <w:p w14:paraId="2264092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2.采购代理机构信息（如有） </w:t>
      </w:r>
    </w:p>
    <w:p w14:paraId="0809215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名称：河南省机电设备国际招标有限公司 </w:t>
      </w:r>
    </w:p>
    <w:p w14:paraId="2D35124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地址：郑州市黄河南路商都路交汇处西南角财信大厦14-15层 </w:t>
      </w:r>
    </w:p>
    <w:p w14:paraId="3415AD3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联系人：陈鹏、赵壮壮、刘倩 </w:t>
      </w:r>
    </w:p>
    <w:p w14:paraId="6206CF6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联系方式：0371-86656599 </w:t>
      </w:r>
    </w:p>
    <w:p w14:paraId="7A19A07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3.项目联系方式 </w:t>
      </w:r>
    </w:p>
    <w:p w14:paraId="3665FC8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项目联系人：陈鹏、赵壮壮、刘倩 </w:t>
      </w:r>
    </w:p>
    <w:p w14:paraId="1E4BD0E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联系方式：0371-86656599 </w:t>
      </w:r>
    </w:p>
    <w:p w14:paraId="10C6A952">
      <w:pPr>
        <w:spacing w:line="360" w:lineRule="auto"/>
        <w:ind w:firstLine="480" w:firstLineChars="200"/>
        <w:rPr>
          <w:rFonts w:ascii="宋体" w:hAnsi="宋体" w:cs="宋体"/>
          <w:sz w:val="24"/>
          <w:highlight w:val="none"/>
        </w:rPr>
      </w:pPr>
    </w:p>
    <w:p w14:paraId="10B3787F">
      <w:pPr>
        <w:spacing w:line="360" w:lineRule="auto"/>
        <w:jc w:val="center"/>
        <w:rPr>
          <w:rFonts w:ascii="宋体" w:hAnsi="宋体"/>
          <w:b/>
          <w:highlight w:val="none"/>
        </w:rPr>
      </w:pPr>
      <w:bookmarkStart w:id="37" w:name="_Toc2799"/>
      <w:bookmarkStart w:id="38" w:name="_Toc15048358"/>
      <w:r>
        <w:rPr>
          <w:rFonts w:hint="eastAsia" w:ascii="宋体" w:hAnsi="宋体"/>
          <w:b/>
          <w:highlight w:val="none"/>
        </w:rPr>
        <w:br w:type="page"/>
      </w:r>
    </w:p>
    <w:p w14:paraId="5D8613D4">
      <w:pPr>
        <w:pStyle w:val="44"/>
        <w:spacing w:before="0" w:line="360" w:lineRule="auto"/>
        <w:jc w:val="center"/>
        <w:rPr>
          <w:rFonts w:ascii="宋体" w:hAnsi="宋体" w:eastAsia="宋体"/>
          <w:b/>
          <w:highlight w:val="none"/>
        </w:rPr>
      </w:pPr>
      <w:bookmarkStart w:id="39" w:name="_Toc13654"/>
      <w:bookmarkStart w:id="40" w:name="_Toc24999"/>
      <w:r>
        <w:rPr>
          <w:rFonts w:hint="eastAsia" w:ascii="宋体" w:hAnsi="宋体" w:eastAsia="宋体"/>
          <w:b/>
          <w:highlight w:val="none"/>
        </w:rPr>
        <w:t>第二章  供应商须知</w:t>
      </w:r>
      <w:bookmarkEnd w:id="37"/>
      <w:bookmarkEnd w:id="38"/>
      <w:bookmarkEnd w:id="39"/>
      <w:bookmarkEnd w:id="40"/>
    </w:p>
    <w:p w14:paraId="76544B2B">
      <w:pPr>
        <w:pStyle w:val="44"/>
        <w:spacing w:before="0" w:line="360" w:lineRule="auto"/>
        <w:jc w:val="center"/>
        <w:rPr>
          <w:rFonts w:ascii="宋体" w:hAnsi="宋体" w:eastAsia="宋体"/>
          <w:b/>
          <w:highlight w:val="none"/>
        </w:rPr>
      </w:pPr>
      <w:bookmarkStart w:id="41" w:name="_Toc21862"/>
      <w:bookmarkStart w:id="42" w:name="_Toc32508"/>
      <w:bookmarkStart w:id="43" w:name="_Toc6084"/>
      <w:r>
        <w:rPr>
          <w:rFonts w:hint="eastAsia" w:ascii="宋体" w:hAnsi="宋体" w:eastAsia="宋体"/>
          <w:b/>
          <w:highlight w:val="none"/>
        </w:rPr>
        <w:t>供应商须知前附表</w:t>
      </w:r>
      <w:bookmarkEnd w:id="41"/>
      <w:bookmarkEnd w:id="42"/>
      <w:bookmarkEnd w:id="43"/>
    </w:p>
    <w:p w14:paraId="4B81075F">
      <w:pPr>
        <w:spacing w:line="360" w:lineRule="auto"/>
        <w:ind w:firstLine="480" w:firstLineChars="200"/>
        <w:rPr>
          <w:rFonts w:ascii="宋体" w:hAnsi="宋体" w:cs="宋体"/>
          <w:sz w:val="24"/>
          <w:highlight w:val="none"/>
        </w:rPr>
      </w:pPr>
      <w:r>
        <w:rPr>
          <w:rFonts w:hint="eastAsia" w:ascii="宋体" w:hAnsi="宋体" w:cs="宋体"/>
          <w:sz w:val="24"/>
          <w:highlight w:val="none"/>
        </w:rPr>
        <w:t>本表是本采购项目的具体资料，是对供应商须知的具体补充和修改，如有矛盾，应以本表为准。</w:t>
      </w:r>
    </w:p>
    <w:tbl>
      <w:tblPr>
        <w:tblStyle w:val="27"/>
        <w:tblW w:w="94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2235"/>
        <w:gridCol w:w="5960"/>
      </w:tblGrid>
      <w:tr w14:paraId="46BED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blHeader/>
          <w:jc w:val="center"/>
        </w:trPr>
        <w:tc>
          <w:tcPr>
            <w:tcW w:w="1299" w:type="dxa"/>
            <w:tcBorders>
              <w:bottom w:val="single" w:color="auto" w:sz="4" w:space="0"/>
            </w:tcBorders>
            <w:vAlign w:val="center"/>
          </w:tcPr>
          <w:p w14:paraId="36728429">
            <w:pPr>
              <w:spacing w:line="360" w:lineRule="auto"/>
              <w:jc w:val="center"/>
              <w:rPr>
                <w:rFonts w:asciiTheme="minorEastAsia" w:hAnsiTheme="minorEastAsia" w:eastAsiaTheme="minorEastAsia" w:cstheme="minorEastAsia"/>
                <w:sz w:val="24"/>
                <w:highlight w:val="none"/>
              </w:rPr>
            </w:pPr>
            <w:bookmarkStart w:id="44" w:name="sys_招标项目基本内容及要求其他：Block"/>
            <w:bookmarkEnd w:id="44"/>
            <w:bookmarkStart w:id="45" w:name="招标项目基本内容及要求：Block"/>
            <w:bookmarkEnd w:id="45"/>
            <w:bookmarkStart w:id="46" w:name="招标项目基本内容及要求其他：Block"/>
            <w:bookmarkEnd w:id="46"/>
            <w:bookmarkStart w:id="47" w:name="sys_招标项目基本内容及要求：Block"/>
            <w:bookmarkEnd w:id="47"/>
            <w:r>
              <w:rPr>
                <w:rFonts w:hint="eastAsia" w:asciiTheme="minorEastAsia" w:hAnsiTheme="minorEastAsia" w:eastAsiaTheme="minorEastAsia" w:cstheme="minorEastAsia"/>
                <w:sz w:val="24"/>
                <w:highlight w:val="none"/>
              </w:rPr>
              <w:t>条款号</w:t>
            </w:r>
          </w:p>
        </w:tc>
        <w:tc>
          <w:tcPr>
            <w:tcW w:w="2235" w:type="dxa"/>
            <w:tcBorders>
              <w:bottom w:val="single" w:color="auto" w:sz="4" w:space="0"/>
            </w:tcBorders>
            <w:vAlign w:val="center"/>
          </w:tcPr>
          <w:p w14:paraId="560361D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条款名称</w:t>
            </w:r>
          </w:p>
        </w:tc>
        <w:tc>
          <w:tcPr>
            <w:tcW w:w="5960" w:type="dxa"/>
            <w:tcBorders>
              <w:bottom w:val="single" w:color="auto" w:sz="4" w:space="0"/>
            </w:tcBorders>
            <w:vAlign w:val="center"/>
          </w:tcPr>
          <w:p w14:paraId="797BEF8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内     容</w:t>
            </w:r>
          </w:p>
        </w:tc>
      </w:tr>
      <w:tr w14:paraId="0904B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1299" w:type="dxa"/>
            <w:tcBorders>
              <w:top w:val="single" w:color="auto" w:sz="4" w:space="0"/>
              <w:bottom w:val="single" w:color="auto" w:sz="4" w:space="0"/>
            </w:tcBorders>
            <w:vAlign w:val="center"/>
          </w:tcPr>
          <w:p w14:paraId="26878929">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w:t>
            </w:r>
          </w:p>
        </w:tc>
        <w:tc>
          <w:tcPr>
            <w:tcW w:w="2235" w:type="dxa"/>
            <w:tcBorders>
              <w:top w:val="single" w:color="auto" w:sz="4" w:space="0"/>
              <w:bottom w:val="single" w:color="auto" w:sz="4" w:space="0"/>
            </w:tcBorders>
            <w:vAlign w:val="center"/>
          </w:tcPr>
          <w:p w14:paraId="1C704ED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w:t>
            </w:r>
          </w:p>
        </w:tc>
        <w:tc>
          <w:tcPr>
            <w:tcW w:w="5960" w:type="dxa"/>
            <w:tcBorders>
              <w:top w:val="single" w:color="auto" w:sz="4" w:space="0"/>
              <w:bottom w:val="single" w:color="auto" w:sz="4" w:space="0"/>
            </w:tcBorders>
            <w:vAlign w:val="center"/>
          </w:tcPr>
          <w:p w14:paraId="4822578F">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名称：河南省生态环境厅 </w:t>
            </w:r>
          </w:p>
          <w:p w14:paraId="495FBFD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地址：郑州市郑东新区学理路10号</w:t>
            </w:r>
          </w:p>
          <w:p w14:paraId="0A48245C">
            <w:pPr>
              <w:spacing w:line="360" w:lineRule="auto"/>
              <w:ind w:firstLine="0" w:firstLineChars="0"/>
              <w:rPr>
                <w:rFonts w:hint="eastAsia"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柳二彪</w:t>
            </w:r>
          </w:p>
          <w:p w14:paraId="37823082">
            <w:pPr>
              <w:spacing w:line="360" w:lineRule="auto"/>
              <w:rPr>
                <w:rFonts w:asciiTheme="minorEastAsia" w:hAnsiTheme="minorEastAsia" w:eastAsiaTheme="minorEastAsia" w:cstheme="minorEastAsia"/>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0371-</w:t>
            </w:r>
            <w:r>
              <w:rPr>
                <w:rFonts w:hint="eastAsia" w:ascii="宋体" w:hAnsi="宋体" w:cs="宋体"/>
                <w:sz w:val="24"/>
                <w:highlight w:val="none"/>
              </w:rPr>
              <w:t>66309541</w:t>
            </w:r>
          </w:p>
        </w:tc>
      </w:tr>
      <w:tr w14:paraId="4926F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vAlign w:val="center"/>
          </w:tcPr>
          <w:p w14:paraId="2D92FB16">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w:t>
            </w:r>
          </w:p>
        </w:tc>
        <w:tc>
          <w:tcPr>
            <w:tcW w:w="2235" w:type="dxa"/>
            <w:tcBorders>
              <w:top w:val="single" w:color="auto" w:sz="4" w:space="0"/>
              <w:bottom w:val="single" w:color="auto" w:sz="4" w:space="0"/>
            </w:tcBorders>
            <w:vAlign w:val="center"/>
          </w:tcPr>
          <w:p w14:paraId="6366CE9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采购代理机构</w:t>
            </w:r>
          </w:p>
        </w:tc>
        <w:tc>
          <w:tcPr>
            <w:tcW w:w="5960" w:type="dxa"/>
            <w:tcBorders>
              <w:top w:val="single" w:color="auto" w:sz="4" w:space="0"/>
              <w:bottom w:val="single" w:color="auto" w:sz="4" w:space="0"/>
            </w:tcBorders>
            <w:vAlign w:val="center"/>
          </w:tcPr>
          <w:p w14:paraId="79E37D3B">
            <w:pPr>
              <w:spacing w:line="360" w:lineRule="auto"/>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lang w:val="zh-CN"/>
              </w:rPr>
              <w:t>：河南省机电设备国际招标有限公司</w:t>
            </w:r>
          </w:p>
          <w:p w14:paraId="02A907C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郑州市管城区黄河南路与商都路交汇处西南角财信大厦14-15层</w:t>
            </w:r>
          </w:p>
          <w:p w14:paraId="0DFFE300">
            <w:pPr>
              <w:spacing w:line="360" w:lineRule="auto"/>
              <w:rPr>
                <w:rFonts w:ascii="宋体" w:hAnsi="宋体" w:cs="宋体"/>
                <w:sz w:val="24"/>
                <w:highlight w:val="none"/>
              </w:rPr>
            </w:pPr>
            <w:r>
              <w:rPr>
                <w:rFonts w:hint="eastAsia" w:asciiTheme="minorEastAsia" w:hAnsiTheme="minorEastAsia" w:eastAsiaTheme="minorEastAsia" w:cstheme="minorEastAsia"/>
                <w:sz w:val="24"/>
                <w:highlight w:val="none"/>
              </w:rPr>
              <w:t>联系人：</w:t>
            </w:r>
            <w:r>
              <w:rPr>
                <w:rFonts w:hint="eastAsia" w:ascii="宋体" w:hAnsi="宋体" w:cs="宋体"/>
                <w:sz w:val="24"/>
                <w:highlight w:val="none"/>
              </w:rPr>
              <w:t xml:space="preserve">陈鹏、赵壮壮、刘倩 </w:t>
            </w:r>
          </w:p>
          <w:p w14:paraId="737F1B7C">
            <w:pPr>
              <w:rPr>
                <w:highlight w:val="none"/>
              </w:rPr>
            </w:pPr>
            <w:r>
              <w:rPr>
                <w:rFonts w:hint="eastAsia" w:ascii="宋体" w:hAnsi="宋体" w:cs="宋体"/>
                <w:sz w:val="24"/>
                <w:highlight w:val="none"/>
              </w:rPr>
              <w:t>联系方式：0371-86656599</w:t>
            </w:r>
          </w:p>
          <w:p w14:paraId="6741F15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电子邮箱：jdgjzhaobiao11@163.com</w:t>
            </w:r>
          </w:p>
        </w:tc>
      </w:tr>
      <w:tr w14:paraId="6206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45317E92">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w:t>
            </w:r>
          </w:p>
        </w:tc>
        <w:tc>
          <w:tcPr>
            <w:tcW w:w="2235" w:type="dxa"/>
            <w:tcBorders>
              <w:top w:val="single" w:color="auto" w:sz="4" w:space="0"/>
              <w:bottom w:val="single" w:color="auto" w:sz="4" w:space="0"/>
            </w:tcBorders>
            <w:vAlign w:val="center"/>
          </w:tcPr>
          <w:p w14:paraId="7571417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采购项目名称</w:t>
            </w:r>
          </w:p>
        </w:tc>
        <w:tc>
          <w:tcPr>
            <w:tcW w:w="5960" w:type="dxa"/>
            <w:tcBorders>
              <w:top w:val="single" w:color="auto" w:sz="4" w:space="0"/>
              <w:bottom w:val="single" w:color="auto" w:sz="4" w:space="0"/>
            </w:tcBorders>
            <w:vAlign w:val="center"/>
          </w:tcPr>
          <w:p w14:paraId="6ECA9DB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河南省生态环境厅职工食堂承包服务项目</w:t>
            </w:r>
            <w:r>
              <w:rPr>
                <w:rFonts w:hint="eastAsia" w:asciiTheme="minorEastAsia" w:hAnsiTheme="minorEastAsia" w:eastAsiaTheme="minorEastAsia" w:cstheme="minorEastAsia"/>
                <w:sz w:val="24"/>
                <w:highlight w:val="none"/>
              </w:rPr>
              <w:t>。</w:t>
            </w:r>
          </w:p>
        </w:tc>
      </w:tr>
      <w:tr w14:paraId="45640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46B5A075">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1.1.4</w:t>
            </w:r>
          </w:p>
        </w:tc>
        <w:tc>
          <w:tcPr>
            <w:tcW w:w="2235" w:type="dxa"/>
            <w:tcBorders>
              <w:top w:val="single" w:color="auto" w:sz="4" w:space="0"/>
              <w:bottom w:val="single" w:color="auto" w:sz="4" w:space="0"/>
            </w:tcBorders>
            <w:vAlign w:val="center"/>
          </w:tcPr>
          <w:p w14:paraId="778895F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采购项目实施地点</w:t>
            </w:r>
          </w:p>
        </w:tc>
        <w:tc>
          <w:tcPr>
            <w:tcW w:w="5960" w:type="dxa"/>
            <w:tcBorders>
              <w:top w:val="single" w:color="auto" w:sz="4" w:space="0"/>
              <w:bottom w:val="single" w:color="auto" w:sz="4" w:space="0"/>
            </w:tcBorders>
            <w:vAlign w:val="bottom"/>
          </w:tcPr>
          <w:p w14:paraId="4021BF6E">
            <w:pPr>
              <w:tabs>
                <w:tab w:val="left" w:pos="142"/>
              </w:tabs>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河南省生态环境厅</w:t>
            </w:r>
            <w:r>
              <w:rPr>
                <w:rFonts w:hint="eastAsia" w:asciiTheme="minorEastAsia" w:hAnsiTheme="minorEastAsia" w:eastAsiaTheme="minorEastAsia" w:cstheme="minorEastAsia"/>
                <w:sz w:val="24"/>
                <w:highlight w:val="none"/>
              </w:rPr>
              <w:t>（郑州市郑东新区学理路10号）。</w:t>
            </w:r>
          </w:p>
        </w:tc>
      </w:tr>
      <w:tr w14:paraId="35529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bottom"/>
          </w:tcPr>
          <w:p w14:paraId="078E6F85">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1.1.5</w:t>
            </w:r>
          </w:p>
        </w:tc>
        <w:tc>
          <w:tcPr>
            <w:tcW w:w="2235" w:type="dxa"/>
            <w:tcBorders>
              <w:top w:val="single" w:color="auto" w:sz="4" w:space="0"/>
              <w:bottom w:val="single" w:color="auto" w:sz="4" w:space="0"/>
            </w:tcBorders>
            <w:vAlign w:val="bottom"/>
          </w:tcPr>
          <w:p w14:paraId="2C2324C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w:t>
            </w:r>
          </w:p>
        </w:tc>
        <w:tc>
          <w:tcPr>
            <w:tcW w:w="5960" w:type="dxa"/>
            <w:tcBorders>
              <w:top w:val="single" w:color="auto" w:sz="4" w:space="0"/>
              <w:bottom w:val="single" w:color="auto" w:sz="4" w:space="0"/>
            </w:tcBorders>
            <w:vAlign w:val="bottom"/>
          </w:tcPr>
          <w:p w14:paraId="664CAD6E">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w:t>
            </w:r>
          </w:p>
        </w:tc>
      </w:tr>
      <w:tr w14:paraId="27EB3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2B57B0F2">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w:t>
            </w:r>
          </w:p>
        </w:tc>
        <w:tc>
          <w:tcPr>
            <w:tcW w:w="2235" w:type="dxa"/>
            <w:tcBorders>
              <w:top w:val="single" w:color="auto" w:sz="4" w:space="0"/>
              <w:bottom w:val="single" w:color="auto" w:sz="4" w:space="0"/>
            </w:tcBorders>
            <w:vAlign w:val="center"/>
          </w:tcPr>
          <w:p w14:paraId="7C729F2A">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项目预算金额和最高限价</w:t>
            </w:r>
          </w:p>
        </w:tc>
        <w:tc>
          <w:tcPr>
            <w:tcW w:w="5960" w:type="dxa"/>
            <w:tcBorders>
              <w:top w:val="single" w:color="auto" w:sz="4" w:space="0"/>
              <w:bottom w:val="single" w:color="auto" w:sz="4" w:space="0"/>
            </w:tcBorders>
            <w:vAlign w:val="center"/>
          </w:tcPr>
          <w:p w14:paraId="1BA9BD1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项目预算金额：</w:t>
            </w:r>
            <w:r>
              <w:rPr>
                <w:rFonts w:hint="eastAsia" w:asciiTheme="minorEastAsia" w:hAnsiTheme="minorEastAsia" w:eastAsiaTheme="minorEastAsia" w:cstheme="minorEastAsia"/>
                <w:sz w:val="24"/>
                <w:highlight w:val="none"/>
                <w:lang w:eastAsia="zh-CN"/>
              </w:rPr>
              <w:t>3200000</w:t>
            </w:r>
            <w:r>
              <w:rPr>
                <w:rFonts w:hint="eastAsia" w:asciiTheme="minorEastAsia" w:hAnsiTheme="minorEastAsia" w:eastAsiaTheme="minorEastAsia" w:cstheme="minorEastAsia"/>
                <w:sz w:val="24"/>
                <w:highlight w:val="none"/>
              </w:rPr>
              <w:t>.00元，</w:t>
            </w:r>
          </w:p>
          <w:p w14:paraId="469232F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eastAsia="zh-CN"/>
              </w:rPr>
              <w:t>3200000</w:t>
            </w:r>
            <w:r>
              <w:rPr>
                <w:rFonts w:hint="eastAsia" w:asciiTheme="minorEastAsia" w:hAnsiTheme="minorEastAsia" w:eastAsiaTheme="minorEastAsia" w:cstheme="minorEastAsia"/>
                <w:sz w:val="24"/>
                <w:highlight w:val="none"/>
              </w:rPr>
              <w:t>.00元。</w:t>
            </w:r>
          </w:p>
        </w:tc>
      </w:tr>
      <w:tr w14:paraId="382D5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794B3A9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w:t>
            </w:r>
          </w:p>
        </w:tc>
        <w:tc>
          <w:tcPr>
            <w:tcW w:w="2235" w:type="dxa"/>
            <w:tcBorders>
              <w:top w:val="single" w:color="auto" w:sz="4" w:space="0"/>
              <w:bottom w:val="single" w:color="auto" w:sz="4" w:space="0"/>
            </w:tcBorders>
            <w:vAlign w:val="center"/>
          </w:tcPr>
          <w:p w14:paraId="1D8ADB57">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p>
        </w:tc>
        <w:tc>
          <w:tcPr>
            <w:tcW w:w="5960" w:type="dxa"/>
            <w:tcBorders>
              <w:top w:val="single" w:color="auto" w:sz="4" w:space="0"/>
              <w:bottom w:val="single" w:color="auto" w:sz="4" w:space="0"/>
            </w:tcBorders>
            <w:vAlign w:val="center"/>
          </w:tcPr>
          <w:p w14:paraId="2F1354D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具体内容详见竞争性磋商文件第三章。</w:t>
            </w:r>
          </w:p>
        </w:tc>
      </w:tr>
      <w:tr w14:paraId="379BA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29A2B768">
            <w:pPr>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w:t>
            </w:r>
          </w:p>
        </w:tc>
        <w:tc>
          <w:tcPr>
            <w:tcW w:w="2235" w:type="dxa"/>
            <w:tcBorders>
              <w:top w:val="single" w:color="auto" w:sz="4" w:space="0"/>
              <w:bottom w:val="single" w:color="auto" w:sz="4" w:space="0"/>
            </w:tcBorders>
            <w:vAlign w:val="center"/>
          </w:tcPr>
          <w:p w14:paraId="6DEB8585">
            <w:pPr>
              <w:spacing w:line="360" w:lineRule="auto"/>
              <w:rPr>
                <w:rFonts w:asciiTheme="minorEastAsia" w:hAnsiTheme="minorEastAsia" w:eastAsiaTheme="minorEastAsia" w:cstheme="minorEastAsia"/>
                <w:sz w:val="24"/>
                <w:highlight w:val="none"/>
              </w:rPr>
            </w:pPr>
            <w:r>
              <w:rPr>
                <w:rFonts w:hint="eastAsia" w:ascii="宋体" w:hAnsi="宋体" w:cs="宋体"/>
                <w:sz w:val="24"/>
                <w:highlight w:val="none"/>
              </w:rPr>
              <w:t>服务期限</w:t>
            </w:r>
          </w:p>
        </w:tc>
        <w:tc>
          <w:tcPr>
            <w:tcW w:w="5960" w:type="dxa"/>
            <w:tcBorders>
              <w:top w:val="single" w:color="auto" w:sz="4" w:space="0"/>
              <w:bottom w:val="single" w:color="auto" w:sz="4" w:space="0"/>
            </w:tcBorders>
            <w:vAlign w:val="center"/>
          </w:tcPr>
          <w:p w14:paraId="04D0A1F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2年</w:t>
            </w:r>
            <w:r>
              <w:rPr>
                <w:rFonts w:hint="eastAsia" w:asciiTheme="minorEastAsia" w:hAnsiTheme="minorEastAsia" w:eastAsiaTheme="minorEastAsia" w:cstheme="minorEastAsia"/>
                <w:sz w:val="24"/>
                <w:highlight w:val="none"/>
              </w:rPr>
              <w:t>。</w:t>
            </w:r>
          </w:p>
        </w:tc>
      </w:tr>
      <w:tr w14:paraId="186AA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vAlign w:val="center"/>
          </w:tcPr>
          <w:p w14:paraId="72FC1A17">
            <w:pPr>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w:t>
            </w:r>
          </w:p>
        </w:tc>
        <w:tc>
          <w:tcPr>
            <w:tcW w:w="2235" w:type="dxa"/>
            <w:tcBorders>
              <w:top w:val="single" w:color="auto" w:sz="4" w:space="0"/>
              <w:bottom w:val="single" w:color="auto" w:sz="4" w:space="0"/>
            </w:tcBorders>
            <w:vAlign w:val="center"/>
          </w:tcPr>
          <w:p w14:paraId="5B574925">
            <w:pPr>
              <w:spacing w:line="360" w:lineRule="auto"/>
              <w:rPr>
                <w:rFonts w:ascii="宋体" w:hAnsi="宋体" w:cs="宋体"/>
                <w:sz w:val="24"/>
                <w:highlight w:val="none"/>
              </w:rPr>
            </w:pPr>
            <w:r>
              <w:rPr>
                <w:rFonts w:hint="eastAsia" w:ascii="宋体" w:hAnsi="宋体" w:cs="宋体"/>
                <w:sz w:val="24"/>
                <w:highlight w:val="none"/>
              </w:rPr>
              <w:t>服务质量</w:t>
            </w:r>
          </w:p>
        </w:tc>
        <w:tc>
          <w:tcPr>
            <w:tcW w:w="5960" w:type="dxa"/>
            <w:tcBorders>
              <w:top w:val="single" w:color="auto" w:sz="4" w:space="0"/>
              <w:bottom w:val="single" w:color="auto" w:sz="4" w:space="0"/>
            </w:tcBorders>
            <w:vAlign w:val="center"/>
          </w:tcPr>
          <w:p w14:paraId="5EBEC2E6">
            <w:pPr>
              <w:spacing w:line="360" w:lineRule="auto"/>
              <w:rPr>
                <w:rFonts w:ascii="宋体" w:hAnsi="宋体" w:cs="宋体"/>
                <w:sz w:val="24"/>
                <w:highlight w:val="none"/>
              </w:rPr>
            </w:pPr>
            <w:r>
              <w:rPr>
                <w:rFonts w:hint="eastAsia" w:ascii="宋体" w:hAnsi="宋体" w:cs="宋体"/>
                <w:sz w:val="24"/>
                <w:highlight w:val="none"/>
              </w:rPr>
              <w:t>符合国家或行业规定的合格标准，满足采购人提出的技术标准及要求。</w:t>
            </w:r>
          </w:p>
        </w:tc>
      </w:tr>
      <w:tr w14:paraId="16543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tcBorders>
              <w:top w:val="single" w:color="auto" w:sz="4" w:space="0"/>
              <w:bottom w:val="single" w:color="auto" w:sz="4" w:space="0"/>
            </w:tcBorders>
            <w:vAlign w:val="center"/>
          </w:tcPr>
          <w:p w14:paraId="746F5114">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1.4.2.4</w:t>
            </w:r>
          </w:p>
        </w:tc>
        <w:tc>
          <w:tcPr>
            <w:tcW w:w="2235" w:type="dxa"/>
            <w:tcBorders>
              <w:top w:val="single" w:color="auto" w:sz="4" w:space="0"/>
              <w:bottom w:val="single" w:color="auto" w:sz="4" w:space="0"/>
            </w:tcBorders>
            <w:vAlign w:val="center"/>
          </w:tcPr>
          <w:p w14:paraId="017F240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供应商（投标人）应具备的资格要求</w:t>
            </w:r>
          </w:p>
        </w:tc>
        <w:tc>
          <w:tcPr>
            <w:tcW w:w="5960" w:type="dxa"/>
            <w:tcBorders>
              <w:top w:val="single" w:color="auto" w:sz="4" w:space="0"/>
              <w:bottom w:val="single" w:color="auto" w:sz="4" w:space="0"/>
            </w:tcBorders>
            <w:vAlign w:val="center"/>
          </w:tcPr>
          <w:p w14:paraId="6E6E8FAD">
            <w:pPr>
              <w:pStyle w:val="25"/>
              <w:spacing w:after="0" w:line="560" w:lineRule="exact"/>
              <w:ind w:firstLine="0"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74F112D7">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1.1.具有独立承担民事责任的能力（法人或其他组织的营业执照等证明文件，自然人的身份证明）；</w:t>
            </w:r>
          </w:p>
          <w:p w14:paraId="78F2596A">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1.2.具有良好的商业信誉和健全的财务会计制度【提供202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年或202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年度财务审计报告，成立年限不足一年的可提供基本账户开户银行出具的资信证明或承诺具有良好的商业信誉和健全的财务会计制度】；</w:t>
            </w:r>
          </w:p>
          <w:p w14:paraId="47D01619">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1.3.具有履行合同所必需的设备和专业技术能力（提供承诺书）；</w:t>
            </w:r>
          </w:p>
          <w:p w14:paraId="7F3A043E">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1.4.有依法缴纳税收和社会保障资金的良好记录【提供自202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01月01日以来任意1个月依法缴纳税收和社会保障资金的证明。依法免税或不需要缴纳社会保障资金的投标人，应提供相应文件证明其依法免税或不需要缴纳社会保障资金】或承诺有依法缴纳税收和社会保障资金的良好记录；</w:t>
            </w:r>
          </w:p>
          <w:p w14:paraId="12ADC52B">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1.5.参加政府采购活动前三年内，在经营活动中没有重大违法记录（提供书面声明）；</w:t>
            </w:r>
          </w:p>
          <w:p w14:paraId="1ED74FE9">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1.6法律、行政法规规定的其他条件。</w:t>
            </w:r>
          </w:p>
          <w:p w14:paraId="12273ECF">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注：1.1-1.6项如不能提供相应资料，仅</w:t>
            </w:r>
            <w:r>
              <w:rPr>
                <w:rFonts w:hint="eastAsia" w:asciiTheme="minorEastAsia" w:hAnsiTheme="minorEastAsia" w:eastAsiaTheme="minorEastAsia" w:cstheme="minorEastAsia"/>
                <w:sz w:val="24"/>
                <w:highlight w:val="none"/>
                <w:lang w:eastAsia="zh-CN"/>
              </w:rPr>
              <w:t>需</w:t>
            </w:r>
            <w:r>
              <w:rPr>
                <w:rFonts w:hint="eastAsia" w:asciiTheme="minorEastAsia" w:hAnsiTheme="minorEastAsia" w:eastAsiaTheme="minorEastAsia" w:cstheme="minorEastAsia"/>
                <w:sz w:val="24"/>
                <w:highlight w:val="none"/>
              </w:rPr>
              <w:t>如实提供书面承诺符合资格条件且无纳税、社保、重大违法等方面失信记录以及具备履行合同所必须的设备和能力的声明函，即认为满足条件可参与政府采购。</w:t>
            </w:r>
          </w:p>
          <w:p w14:paraId="17D5B2AF">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2、落实政府采购政策满足的资格要求：</w:t>
            </w:r>
            <w:r>
              <w:rPr>
                <w:rFonts w:hint="eastAsia"/>
                <w:sz w:val="24"/>
                <w:szCs w:val="24"/>
                <w:highlight w:val="none"/>
              </w:rPr>
              <w:t>本项目专门面向中小企业采购，不再执行价格评审优惠的扶持政策。</w:t>
            </w:r>
          </w:p>
          <w:p w14:paraId="62CCF716">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14:paraId="03D3A689">
            <w:pPr>
              <w:pStyle w:val="25"/>
              <w:spacing w:after="0" w:line="56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3.1供应商应具有市场监督管理部门颁发的《食品经营许可证》</w:t>
            </w:r>
            <w:r>
              <w:rPr>
                <w:rFonts w:hint="eastAsia" w:asciiTheme="minorEastAsia" w:hAnsiTheme="minorEastAsia" w:eastAsiaTheme="minorEastAsia" w:cstheme="minorEastAsia"/>
                <w:sz w:val="24"/>
                <w:highlight w:val="none"/>
                <w:lang w:eastAsia="zh-CN"/>
              </w:rPr>
              <w:t>；</w:t>
            </w:r>
          </w:p>
          <w:p w14:paraId="61BB7319">
            <w:pPr>
              <w:pStyle w:val="25"/>
              <w:spacing w:after="0" w:line="56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 xml:space="preserve">3.2 </w:t>
            </w:r>
            <w:r>
              <w:rPr>
                <w:rFonts w:hint="eastAsia"/>
                <w:sz w:val="24"/>
                <w:szCs w:val="24"/>
                <w:highlight w:val="none"/>
              </w:rPr>
              <w:t>根据《关于在政府采购活动中查询及使用信用记录有关问题的通知》(财库[2016]125号)的规定，对列入失信被执行人、税收违法黑名单、政府采购严重违法失信行为记录名单的供应商，拒绝参与本项目政府采购活动；【查询渠道：“中国执行信息公开网（zxgk.court.gov.cn）（信用中国网站可跳转）”查询：失信被执行人名单；“信用中国（http://www.creditchina.gov.cn/”网站中查询“重大税收违法案件当事人名单”），“中国政府采购网（www.ccgp.gov.cn）”网站中查询“政府采购严重违法失信行为记录名单”。】；注：采购代理机构在开标当天将对所有参与本项目投标的供应商的信用情况（失信被执行人、重大税收违法案件当事人名单、政府采购严重违法失信行为记录名单）进行查询、打印留存。若在开标当天查询到供应商有相关负面信息的，则该供应商的投标视为无效</w:t>
            </w:r>
            <w:r>
              <w:rPr>
                <w:rFonts w:hint="eastAsia" w:asciiTheme="minorEastAsia" w:hAnsiTheme="minorEastAsia" w:eastAsiaTheme="minorEastAsia" w:cstheme="minorEastAsia"/>
                <w:sz w:val="24"/>
                <w:highlight w:val="none"/>
                <w:lang w:eastAsia="zh-CN"/>
              </w:rPr>
              <w:t>；</w:t>
            </w:r>
          </w:p>
          <w:p w14:paraId="2EBD5A27">
            <w:pPr>
              <w:pStyle w:val="25"/>
              <w:spacing w:after="0"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3.3与采购人、采购人就本次采购的项目委托的代理机构以及上述机构的附属机构没有行政或经济关联。</w:t>
            </w:r>
          </w:p>
          <w:p w14:paraId="16B94F01">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3.4单位负责人为同一人或者存在直接控股、管理关系的不同供应商，不得参加同一合同项下的政府采购活动。</w:t>
            </w:r>
          </w:p>
        </w:tc>
      </w:tr>
      <w:tr w14:paraId="661E7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299" w:type="dxa"/>
            <w:tcBorders>
              <w:top w:val="single" w:color="auto" w:sz="4" w:space="0"/>
              <w:bottom w:val="single" w:color="auto" w:sz="4" w:space="0"/>
            </w:tcBorders>
            <w:vAlign w:val="center"/>
          </w:tcPr>
          <w:p w14:paraId="4714577A">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1.4.2.5</w:t>
            </w:r>
          </w:p>
        </w:tc>
        <w:tc>
          <w:tcPr>
            <w:tcW w:w="2235" w:type="dxa"/>
            <w:tcBorders>
              <w:top w:val="single" w:color="auto" w:sz="4" w:space="0"/>
              <w:bottom w:val="single" w:color="auto" w:sz="4" w:space="0"/>
            </w:tcBorders>
            <w:vAlign w:val="center"/>
          </w:tcPr>
          <w:p w14:paraId="41E8B80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是否允许采购进口产品</w:t>
            </w:r>
          </w:p>
        </w:tc>
        <w:tc>
          <w:tcPr>
            <w:tcW w:w="5960" w:type="dxa"/>
            <w:tcBorders>
              <w:top w:val="single" w:color="auto" w:sz="4" w:space="0"/>
              <w:bottom w:val="single" w:color="auto" w:sz="4" w:space="0"/>
            </w:tcBorders>
            <w:vAlign w:val="center"/>
          </w:tcPr>
          <w:p w14:paraId="6E17A45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tc>
      </w:tr>
      <w:tr w14:paraId="36303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vAlign w:val="center"/>
          </w:tcPr>
          <w:p w14:paraId="7D89F24B">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1.4.2.6</w:t>
            </w:r>
          </w:p>
        </w:tc>
        <w:tc>
          <w:tcPr>
            <w:tcW w:w="2235" w:type="dxa"/>
            <w:tcBorders>
              <w:top w:val="single" w:color="auto" w:sz="4" w:space="0"/>
              <w:bottom w:val="single" w:color="auto" w:sz="4" w:space="0"/>
            </w:tcBorders>
            <w:vAlign w:val="center"/>
          </w:tcPr>
          <w:p w14:paraId="5757E6F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是否为专门面向中小企业采购</w:t>
            </w:r>
          </w:p>
        </w:tc>
        <w:tc>
          <w:tcPr>
            <w:tcW w:w="5960" w:type="dxa"/>
            <w:tcBorders>
              <w:top w:val="single" w:color="auto" w:sz="4" w:space="0"/>
              <w:bottom w:val="single" w:color="auto" w:sz="4" w:space="0"/>
            </w:tcBorders>
            <w:vAlign w:val="center"/>
          </w:tcPr>
          <w:p w14:paraId="3438C8E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是</w:t>
            </w:r>
          </w:p>
        </w:tc>
      </w:tr>
      <w:tr w14:paraId="6BE3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vAlign w:val="center"/>
          </w:tcPr>
          <w:p w14:paraId="492CE5B9">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1.4.2.8</w:t>
            </w:r>
          </w:p>
        </w:tc>
        <w:tc>
          <w:tcPr>
            <w:tcW w:w="2235" w:type="dxa"/>
            <w:tcBorders>
              <w:top w:val="single" w:color="auto" w:sz="4" w:space="0"/>
              <w:bottom w:val="single" w:color="auto" w:sz="4" w:space="0"/>
            </w:tcBorders>
            <w:vAlign w:val="center"/>
          </w:tcPr>
          <w:p w14:paraId="5218AFF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w:t>
            </w:r>
          </w:p>
        </w:tc>
        <w:tc>
          <w:tcPr>
            <w:tcW w:w="5960" w:type="dxa"/>
            <w:tcBorders>
              <w:top w:val="single" w:color="auto" w:sz="4" w:space="0"/>
              <w:bottom w:val="single" w:color="auto" w:sz="4" w:space="0"/>
            </w:tcBorders>
            <w:vAlign w:val="center"/>
          </w:tcPr>
          <w:p w14:paraId="07810AF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sym w:font="Wingdings 2" w:char="0052"/>
            </w:r>
            <w:r>
              <w:rPr>
                <w:rFonts w:hint="eastAsia" w:asciiTheme="minorEastAsia" w:hAnsiTheme="minorEastAsia" w:eastAsiaTheme="minorEastAsia" w:cstheme="minorEastAsia"/>
                <w:sz w:val="24"/>
                <w:highlight w:val="none"/>
              </w:rPr>
              <w:t>不允许</w:t>
            </w:r>
          </w:p>
          <w:p w14:paraId="5504205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□允许，分包内容要求：</w:t>
            </w:r>
          </w:p>
        </w:tc>
      </w:tr>
      <w:tr w14:paraId="38767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299" w:type="dxa"/>
            <w:tcBorders>
              <w:top w:val="single" w:color="auto" w:sz="4" w:space="0"/>
              <w:bottom w:val="single" w:color="auto" w:sz="4" w:space="0"/>
            </w:tcBorders>
            <w:vAlign w:val="center"/>
          </w:tcPr>
          <w:p w14:paraId="0DD42D8A">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w:t>
            </w:r>
          </w:p>
        </w:tc>
        <w:tc>
          <w:tcPr>
            <w:tcW w:w="2235" w:type="dxa"/>
            <w:tcBorders>
              <w:top w:val="single" w:color="auto" w:sz="4" w:space="0"/>
              <w:bottom w:val="single" w:color="auto" w:sz="4" w:space="0"/>
            </w:tcBorders>
            <w:vAlign w:val="center"/>
          </w:tcPr>
          <w:p w14:paraId="3A7BC7CF">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是否允许联合体参加政府采购活动</w:t>
            </w:r>
          </w:p>
        </w:tc>
        <w:tc>
          <w:tcPr>
            <w:tcW w:w="5960" w:type="dxa"/>
            <w:tcBorders>
              <w:top w:val="single" w:color="auto" w:sz="4" w:space="0"/>
              <w:bottom w:val="single" w:color="auto" w:sz="4" w:space="0"/>
            </w:tcBorders>
            <w:vAlign w:val="center"/>
          </w:tcPr>
          <w:p w14:paraId="228DBFB8">
            <w:pPr>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否</w:t>
            </w:r>
          </w:p>
        </w:tc>
      </w:tr>
      <w:tr w14:paraId="525B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vAlign w:val="center"/>
          </w:tcPr>
          <w:p w14:paraId="00E68E3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w:t>
            </w:r>
          </w:p>
        </w:tc>
        <w:tc>
          <w:tcPr>
            <w:tcW w:w="2235" w:type="dxa"/>
            <w:tcBorders>
              <w:top w:val="single" w:color="auto" w:sz="4" w:space="0"/>
              <w:bottom w:val="single" w:color="auto" w:sz="4" w:space="0"/>
            </w:tcBorders>
            <w:vAlign w:val="center"/>
          </w:tcPr>
          <w:p w14:paraId="362BBF0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现场考察、磋商前答疑会</w:t>
            </w:r>
          </w:p>
        </w:tc>
        <w:tc>
          <w:tcPr>
            <w:tcW w:w="5960" w:type="dxa"/>
            <w:tcBorders>
              <w:top w:val="single" w:color="auto" w:sz="4" w:space="0"/>
              <w:bottom w:val="single" w:color="auto" w:sz="4" w:space="0"/>
            </w:tcBorders>
            <w:vAlign w:val="center"/>
          </w:tcPr>
          <w:p w14:paraId="52975704">
            <w:pPr>
              <w:spacing w:line="360" w:lineRule="auto"/>
              <w:jc w:val="left"/>
              <w:rPr>
                <w:rFonts w:asciiTheme="minorEastAsia" w:hAnsiTheme="minorEastAsia" w:eastAsiaTheme="minorEastAsia" w:cstheme="minorEastAsia"/>
                <w:b/>
                <w:sz w:val="34"/>
                <w:highlight w:val="none"/>
              </w:rPr>
            </w:pPr>
            <w:r>
              <w:rPr>
                <w:rFonts w:hint="eastAsia" w:asciiTheme="minorEastAsia" w:hAnsiTheme="minorEastAsia" w:eastAsiaTheme="minorEastAsia" w:cstheme="minorEastAsia"/>
                <w:sz w:val="24"/>
                <w:highlight w:val="none"/>
              </w:rPr>
              <w:t>是否组织现场考察或者召开答疑会：</w:t>
            </w:r>
            <w:r>
              <w:rPr>
                <w:rFonts w:hint="eastAsia" w:asciiTheme="minorEastAsia" w:hAnsiTheme="minorEastAsia" w:eastAsiaTheme="minorEastAsia" w:cstheme="minorEastAsia"/>
                <w:b/>
                <w:sz w:val="24"/>
                <w:highlight w:val="none"/>
                <w:u w:val="single"/>
              </w:rPr>
              <w:t>否</w:t>
            </w:r>
            <w:r>
              <w:rPr>
                <w:rFonts w:hint="eastAsia" w:asciiTheme="minorEastAsia" w:hAnsiTheme="minorEastAsia" w:eastAsiaTheme="minorEastAsia" w:cstheme="minorEastAsia"/>
                <w:b/>
                <w:sz w:val="24"/>
                <w:highlight w:val="none"/>
              </w:rPr>
              <w:t>。</w:t>
            </w:r>
          </w:p>
        </w:tc>
      </w:tr>
      <w:tr w14:paraId="2A413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99" w:type="dxa"/>
            <w:vMerge w:val="restart"/>
            <w:vAlign w:val="center"/>
          </w:tcPr>
          <w:p w14:paraId="50CA0504">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2.2.1</w:t>
            </w:r>
          </w:p>
        </w:tc>
        <w:tc>
          <w:tcPr>
            <w:tcW w:w="2235" w:type="dxa"/>
            <w:vMerge w:val="restart"/>
            <w:vAlign w:val="center"/>
          </w:tcPr>
          <w:p w14:paraId="55B2E09D">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供应商对竞争性磋商文件提出疑问的截止时间</w:t>
            </w:r>
          </w:p>
        </w:tc>
        <w:tc>
          <w:tcPr>
            <w:tcW w:w="5960" w:type="dxa"/>
            <w:tcBorders>
              <w:bottom w:val="single" w:color="auto" w:sz="4" w:space="0"/>
            </w:tcBorders>
            <w:vAlign w:val="center"/>
          </w:tcPr>
          <w:p w14:paraId="0B51C8F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供应商应在收到采购（磋商）文件之日起三个工作日内提出疑问。</w:t>
            </w:r>
          </w:p>
        </w:tc>
      </w:tr>
      <w:tr w14:paraId="05888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1299" w:type="dxa"/>
            <w:vMerge w:val="continue"/>
            <w:tcBorders>
              <w:bottom w:val="single" w:color="auto" w:sz="4" w:space="0"/>
            </w:tcBorders>
            <w:vAlign w:val="center"/>
          </w:tcPr>
          <w:p w14:paraId="03DF074A">
            <w:pPr>
              <w:spacing w:line="360" w:lineRule="auto"/>
              <w:jc w:val="center"/>
              <w:rPr>
                <w:rFonts w:asciiTheme="minorEastAsia" w:hAnsiTheme="minorEastAsia" w:eastAsiaTheme="minorEastAsia" w:cstheme="minorEastAsia"/>
                <w:sz w:val="24"/>
                <w:highlight w:val="none"/>
              </w:rPr>
            </w:pPr>
          </w:p>
        </w:tc>
        <w:tc>
          <w:tcPr>
            <w:tcW w:w="2235" w:type="dxa"/>
            <w:vMerge w:val="continue"/>
            <w:tcBorders>
              <w:bottom w:val="single" w:color="auto" w:sz="4" w:space="0"/>
            </w:tcBorders>
            <w:vAlign w:val="center"/>
          </w:tcPr>
          <w:p w14:paraId="3A7F6D79">
            <w:pPr>
              <w:spacing w:line="360" w:lineRule="auto"/>
              <w:rPr>
                <w:rFonts w:asciiTheme="minorEastAsia" w:hAnsiTheme="minorEastAsia" w:eastAsiaTheme="minorEastAsia" w:cstheme="minorEastAsia"/>
                <w:sz w:val="24"/>
                <w:highlight w:val="none"/>
              </w:rPr>
            </w:pPr>
          </w:p>
        </w:tc>
        <w:tc>
          <w:tcPr>
            <w:tcW w:w="5960" w:type="dxa"/>
            <w:tcBorders>
              <w:top w:val="single" w:color="auto" w:sz="4" w:space="0"/>
              <w:bottom w:val="single" w:color="auto" w:sz="4" w:space="0"/>
            </w:tcBorders>
            <w:vAlign w:val="center"/>
          </w:tcPr>
          <w:p w14:paraId="7E5CD3C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形式：在河南省公共资源交易平台上进行提问，同时将问题的电子版（附加盖企业公章的扫描件和可编辑的Word电子版）上传，并电话告知采购人或采购代理机构。</w:t>
            </w:r>
          </w:p>
        </w:tc>
      </w:tr>
      <w:tr w14:paraId="4C7AF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vAlign w:val="center"/>
          </w:tcPr>
          <w:p w14:paraId="78EB2404">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2.2.3</w:t>
            </w:r>
          </w:p>
        </w:tc>
        <w:tc>
          <w:tcPr>
            <w:tcW w:w="2235" w:type="dxa"/>
            <w:tcBorders>
              <w:top w:val="single" w:color="auto" w:sz="4" w:space="0"/>
              <w:bottom w:val="single" w:color="auto" w:sz="4" w:space="0"/>
            </w:tcBorders>
            <w:vAlign w:val="center"/>
          </w:tcPr>
          <w:p w14:paraId="01EEB510">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采购人书面澄清竞争性磋商文件的时间</w:t>
            </w:r>
          </w:p>
        </w:tc>
        <w:tc>
          <w:tcPr>
            <w:tcW w:w="5960" w:type="dxa"/>
            <w:tcBorders>
              <w:top w:val="single" w:color="auto" w:sz="4" w:space="0"/>
              <w:bottom w:val="single" w:color="auto" w:sz="4" w:space="0"/>
            </w:tcBorders>
            <w:vAlign w:val="center"/>
          </w:tcPr>
          <w:p w14:paraId="0A90D85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澄清或者修改的内容可能影响响应文件编制的，将在首次递交响应文件截止时间至少5个工作日前，</w:t>
            </w:r>
            <w:r>
              <w:rPr>
                <w:rFonts w:hint="eastAsia" w:asciiTheme="minorEastAsia" w:hAnsiTheme="minorEastAsia" w:eastAsiaTheme="minorEastAsia" w:cstheme="minorEastAsia"/>
                <w:bCs/>
                <w:sz w:val="24"/>
                <w:highlight w:val="none"/>
              </w:rPr>
              <w:t>以书面形式在河南省公共资源交易中心平台上发出。</w:t>
            </w:r>
          </w:p>
        </w:tc>
      </w:tr>
      <w:tr w14:paraId="77B4E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vAlign w:val="center"/>
          </w:tcPr>
          <w:p w14:paraId="323B771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3.7.1</w:t>
            </w:r>
          </w:p>
        </w:tc>
        <w:tc>
          <w:tcPr>
            <w:tcW w:w="2235" w:type="dxa"/>
            <w:tcBorders>
              <w:top w:val="single" w:color="auto" w:sz="4" w:space="0"/>
              <w:bottom w:val="single" w:color="auto" w:sz="4" w:space="0"/>
            </w:tcBorders>
            <w:vAlign w:val="center"/>
          </w:tcPr>
          <w:p w14:paraId="6F389FE5">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w:t>
            </w:r>
          </w:p>
          <w:p w14:paraId="636631F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磋商</w:t>
            </w:r>
            <w:r>
              <w:rPr>
                <w:rFonts w:hint="eastAsia" w:asciiTheme="minorEastAsia" w:hAnsiTheme="minorEastAsia" w:eastAsiaTheme="minorEastAsia" w:cstheme="minorEastAsia"/>
                <w:sz w:val="24"/>
                <w:highlight w:val="none"/>
              </w:rPr>
              <w:t>有效期</w:t>
            </w:r>
          </w:p>
        </w:tc>
        <w:tc>
          <w:tcPr>
            <w:tcW w:w="5960" w:type="dxa"/>
            <w:tcBorders>
              <w:top w:val="single" w:color="auto" w:sz="4" w:space="0"/>
              <w:bottom w:val="single" w:color="auto" w:sz="4" w:space="0"/>
            </w:tcBorders>
            <w:vAlign w:val="center"/>
          </w:tcPr>
          <w:p w14:paraId="285968A1">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提交响应文件截止之日起</w:t>
            </w:r>
            <w:r>
              <w:rPr>
                <w:rFonts w:hint="eastAsia" w:asciiTheme="minorEastAsia" w:hAnsiTheme="minorEastAsia" w:eastAsiaTheme="minorEastAsia" w:cstheme="minorEastAsia"/>
                <w:sz w:val="24"/>
                <w:highlight w:val="none"/>
                <w:u w:val="single"/>
              </w:rPr>
              <w:t xml:space="preserve"> 90 </w:t>
            </w:r>
            <w:r>
              <w:rPr>
                <w:rFonts w:hint="eastAsia" w:asciiTheme="minorEastAsia" w:hAnsiTheme="minorEastAsia" w:eastAsiaTheme="minorEastAsia" w:cstheme="minorEastAsia"/>
                <w:sz w:val="24"/>
                <w:highlight w:val="none"/>
              </w:rPr>
              <w:t>日历日。</w:t>
            </w:r>
          </w:p>
        </w:tc>
      </w:tr>
      <w:tr w14:paraId="2AF37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tcBorders>
            <w:vAlign w:val="center"/>
          </w:tcPr>
          <w:p w14:paraId="460E679B">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4.2.1</w:t>
            </w:r>
          </w:p>
        </w:tc>
        <w:tc>
          <w:tcPr>
            <w:tcW w:w="2235" w:type="dxa"/>
            <w:tcBorders>
              <w:top w:val="single" w:color="auto" w:sz="4" w:space="0"/>
            </w:tcBorders>
            <w:vAlign w:val="center"/>
          </w:tcPr>
          <w:p w14:paraId="79E359F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响应文件提交截止时间</w:t>
            </w:r>
          </w:p>
        </w:tc>
        <w:tc>
          <w:tcPr>
            <w:tcW w:w="5960" w:type="dxa"/>
            <w:tcBorders>
              <w:top w:val="single" w:color="auto" w:sz="4" w:space="0"/>
            </w:tcBorders>
            <w:vAlign w:val="center"/>
          </w:tcPr>
          <w:p w14:paraId="09131EE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2026年</w:t>
            </w:r>
            <w:r>
              <w:rPr>
                <w:rFonts w:hint="eastAsia" w:asciiTheme="minorEastAsia" w:hAnsiTheme="minorEastAsia" w:eastAsiaTheme="minorEastAsia" w:cstheme="minorEastAsia"/>
                <w:sz w:val="24"/>
                <w:highlight w:val="none"/>
                <w:lang w:val="en-US" w:eastAsia="zh-CN"/>
              </w:rPr>
              <w:t>4月23日</w:t>
            </w:r>
            <w:r>
              <w:rPr>
                <w:rFonts w:hint="eastAsia" w:asciiTheme="minorEastAsia" w:hAnsiTheme="minorEastAsia" w:eastAsiaTheme="minorEastAsia" w:cstheme="minorEastAsia"/>
                <w:sz w:val="24"/>
                <w:highlight w:val="none"/>
              </w:rPr>
              <w:t>09点00分（北京时间）。</w:t>
            </w:r>
          </w:p>
        </w:tc>
      </w:tr>
      <w:tr w14:paraId="7860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299" w:type="dxa"/>
            <w:tcBorders>
              <w:top w:val="single" w:color="auto" w:sz="4" w:space="0"/>
              <w:bottom w:val="single" w:color="auto" w:sz="4" w:space="0"/>
            </w:tcBorders>
            <w:vAlign w:val="center"/>
          </w:tcPr>
          <w:p w14:paraId="4156286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5.1.1</w:t>
            </w:r>
          </w:p>
        </w:tc>
        <w:tc>
          <w:tcPr>
            <w:tcW w:w="2235" w:type="dxa"/>
            <w:tcBorders>
              <w:top w:val="single" w:color="auto" w:sz="4" w:space="0"/>
              <w:bottom w:val="single" w:color="auto" w:sz="4" w:space="0"/>
            </w:tcBorders>
            <w:vAlign w:val="center"/>
          </w:tcPr>
          <w:p w14:paraId="000F147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磋商会议时间、地点</w:t>
            </w:r>
          </w:p>
        </w:tc>
        <w:tc>
          <w:tcPr>
            <w:tcW w:w="5960" w:type="dxa"/>
            <w:tcBorders>
              <w:top w:val="single" w:color="auto" w:sz="4" w:space="0"/>
              <w:bottom w:val="single" w:color="auto" w:sz="4" w:space="0"/>
            </w:tcBorders>
            <w:vAlign w:val="center"/>
          </w:tcPr>
          <w:p w14:paraId="35815F8F">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磋商会议开始时间：同响应文件提交截止时间；</w:t>
            </w:r>
          </w:p>
          <w:p w14:paraId="54B9A2B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地点：《河南省公共资源交易中心》电子交易平台。</w:t>
            </w:r>
          </w:p>
        </w:tc>
      </w:tr>
      <w:tr w14:paraId="59CE0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7CE8B84C">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5.1.2</w:t>
            </w:r>
          </w:p>
        </w:tc>
        <w:tc>
          <w:tcPr>
            <w:tcW w:w="2235" w:type="dxa"/>
            <w:tcBorders>
              <w:top w:val="single" w:color="auto" w:sz="4" w:space="0"/>
              <w:bottom w:val="single" w:color="auto" w:sz="4" w:space="0"/>
            </w:tcBorders>
            <w:vAlign w:val="center"/>
          </w:tcPr>
          <w:p w14:paraId="47EDC53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电子响应文件解密时间</w:t>
            </w:r>
          </w:p>
        </w:tc>
        <w:tc>
          <w:tcPr>
            <w:tcW w:w="5960" w:type="dxa"/>
            <w:tcBorders>
              <w:top w:val="single" w:color="auto" w:sz="4" w:space="0"/>
              <w:bottom w:val="single" w:color="auto" w:sz="4" w:space="0"/>
            </w:tcBorders>
            <w:vAlign w:val="center"/>
          </w:tcPr>
          <w:p w14:paraId="5AAAB33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在开始解密本单位电子响应文件后的30分钟内完成远程解密。</w:t>
            </w:r>
          </w:p>
        </w:tc>
      </w:tr>
      <w:tr w14:paraId="7E392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2AFB086F">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5.2.2</w:t>
            </w:r>
          </w:p>
        </w:tc>
        <w:tc>
          <w:tcPr>
            <w:tcW w:w="2235" w:type="dxa"/>
            <w:tcBorders>
              <w:top w:val="single" w:color="auto" w:sz="4" w:space="0"/>
              <w:bottom w:val="single" w:color="auto" w:sz="4" w:space="0"/>
            </w:tcBorders>
            <w:vAlign w:val="center"/>
          </w:tcPr>
          <w:p w14:paraId="347DF25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磋商小组组成</w:t>
            </w:r>
          </w:p>
        </w:tc>
        <w:tc>
          <w:tcPr>
            <w:tcW w:w="5960" w:type="dxa"/>
            <w:tcBorders>
              <w:top w:val="single" w:color="auto" w:sz="4" w:space="0"/>
              <w:bottom w:val="single" w:color="auto" w:sz="4" w:space="0"/>
            </w:tcBorders>
            <w:vAlign w:val="center"/>
          </w:tcPr>
          <w:p w14:paraId="5D10BED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磋商小组由采购人代表1人，评审专家2人组成，共 3人。评审专家产生方式：</w:t>
            </w:r>
            <w:r>
              <w:rPr>
                <w:rFonts w:hint="eastAsia" w:asciiTheme="minorEastAsia" w:hAnsiTheme="minorEastAsia" w:eastAsiaTheme="minorEastAsia" w:cstheme="minorEastAsia"/>
                <w:bCs/>
                <w:sz w:val="24"/>
                <w:highlight w:val="none"/>
              </w:rPr>
              <w:t>从财政部门的政府采购专家库中随机抽取。</w:t>
            </w:r>
          </w:p>
        </w:tc>
      </w:tr>
      <w:tr w14:paraId="05C02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6D1B84C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5.3.2</w:t>
            </w:r>
          </w:p>
        </w:tc>
        <w:tc>
          <w:tcPr>
            <w:tcW w:w="2235" w:type="dxa"/>
            <w:tcBorders>
              <w:top w:val="single" w:color="auto" w:sz="4" w:space="0"/>
              <w:bottom w:val="single" w:color="auto" w:sz="4" w:space="0"/>
            </w:tcBorders>
            <w:vAlign w:val="center"/>
          </w:tcPr>
          <w:p w14:paraId="5830658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供应商信用记录查询</w:t>
            </w:r>
          </w:p>
        </w:tc>
        <w:tc>
          <w:tcPr>
            <w:tcW w:w="5960" w:type="dxa"/>
            <w:tcBorders>
              <w:top w:val="single" w:color="auto" w:sz="4" w:space="0"/>
              <w:bottom w:val="single" w:color="auto" w:sz="4" w:space="0"/>
            </w:tcBorders>
            <w:vAlign w:val="center"/>
          </w:tcPr>
          <w:p w14:paraId="20304AD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信用记录截止时间点：同响应文件提交截止时间；</w:t>
            </w:r>
          </w:p>
          <w:p w14:paraId="4AD27EB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信用记录查询时间：响应文件提交截止时间之后。</w:t>
            </w:r>
          </w:p>
        </w:tc>
      </w:tr>
      <w:tr w14:paraId="0415C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08818518">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5.8</w:t>
            </w:r>
          </w:p>
        </w:tc>
        <w:tc>
          <w:tcPr>
            <w:tcW w:w="2235" w:type="dxa"/>
            <w:tcBorders>
              <w:top w:val="single" w:color="auto" w:sz="4" w:space="0"/>
              <w:bottom w:val="single" w:color="auto" w:sz="4" w:space="0"/>
            </w:tcBorders>
            <w:vAlign w:val="center"/>
          </w:tcPr>
          <w:p w14:paraId="22B7FA4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评审办法</w:t>
            </w:r>
          </w:p>
        </w:tc>
        <w:tc>
          <w:tcPr>
            <w:tcW w:w="5960" w:type="dxa"/>
            <w:tcBorders>
              <w:top w:val="single" w:color="auto" w:sz="4" w:space="0"/>
              <w:bottom w:val="single" w:color="auto" w:sz="4" w:space="0"/>
            </w:tcBorders>
            <w:vAlign w:val="center"/>
          </w:tcPr>
          <w:p w14:paraId="0DDF971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综合评分法。</w:t>
            </w:r>
          </w:p>
        </w:tc>
      </w:tr>
      <w:tr w14:paraId="6E9C0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42ECCD76">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6.1.2</w:t>
            </w:r>
          </w:p>
        </w:tc>
        <w:tc>
          <w:tcPr>
            <w:tcW w:w="2235" w:type="dxa"/>
            <w:tcBorders>
              <w:top w:val="single" w:color="auto" w:sz="4" w:space="0"/>
              <w:bottom w:val="single" w:color="auto" w:sz="4" w:space="0"/>
            </w:tcBorders>
            <w:vAlign w:val="center"/>
          </w:tcPr>
          <w:p w14:paraId="275A8ADE">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推荐成交候选供应商的数量</w:t>
            </w:r>
          </w:p>
        </w:tc>
        <w:tc>
          <w:tcPr>
            <w:tcW w:w="5960" w:type="dxa"/>
            <w:tcBorders>
              <w:top w:val="single" w:color="auto" w:sz="4" w:space="0"/>
              <w:bottom w:val="single" w:color="auto" w:sz="4" w:space="0"/>
            </w:tcBorders>
            <w:vAlign w:val="center"/>
          </w:tcPr>
          <w:p w14:paraId="61899C5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3名。</w:t>
            </w:r>
          </w:p>
        </w:tc>
      </w:tr>
      <w:tr w14:paraId="76157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vAlign w:val="center"/>
          </w:tcPr>
          <w:p w14:paraId="7304C321">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6.2.1</w:t>
            </w:r>
          </w:p>
        </w:tc>
        <w:tc>
          <w:tcPr>
            <w:tcW w:w="2235" w:type="dxa"/>
            <w:tcBorders>
              <w:top w:val="single" w:color="auto" w:sz="4" w:space="0"/>
              <w:bottom w:val="single" w:color="auto" w:sz="4" w:space="0"/>
            </w:tcBorders>
            <w:vAlign w:val="center"/>
          </w:tcPr>
          <w:p w14:paraId="2FCCF72E">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确定成交供应商的方式</w:t>
            </w:r>
          </w:p>
        </w:tc>
        <w:tc>
          <w:tcPr>
            <w:tcW w:w="5960" w:type="dxa"/>
            <w:tcBorders>
              <w:top w:val="single" w:color="auto" w:sz="4" w:space="0"/>
              <w:bottom w:val="single" w:color="auto" w:sz="4" w:space="0"/>
            </w:tcBorders>
            <w:vAlign w:val="center"/>
          </w:tcPr>
          <w:p w14:paraId="0751793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34"/>
                <w:highlight w:val="none"/>
              </w:rPr>
              <w:sym w:font="Wingdings 2" w:char="0052"/>
            </w:r>
            <w:r>
              <w:rPr>
                <w:rFonts w:hint="eastAsia" w:asciiTheme="minorEastAsia" w:hAnsiTheme="minorEastAsia" w:eastAsiaTheme="minorEastAsia" w:cstheme="minorEastAsia"/>
                <w:sz w:val="24"/>
                <w:highlight w:val="none"/>
              </w:rPr>
              <w:t>采购人确定成交供应商</w:t>
            </w:r>
          </w:p>
          <w:p w14:paraId="742A6A7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Cs/>
                <w:sz w:val="24"/>
                <w:highlight w:val="none"/>
              </w:rPr>
              <w:t>采购人委托磋商小组直接确定成交供应商</w:t>
            </w:r>
          </w:p>
        </w:tc>
      </w:tr>
      <w:tr w14:paraId="204F0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tcBorders>
            <w:vAlign w:val="center"/>
          </w:tcPr>
          <w:p w14:paraId="120FE2BF">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w:t>
            </w:r>
          </w:p>
        </w:tc>
        <w:tc>
          <w:tcPr>
            <w:tcW w:w="2235" w:type="dxa"/>
            <w:tcBorders>
              <w:top w:val="single" w:color="auto" w:sz="4" w:space="0"/>
            </w:tcBorders>
            <w:vAlign w:val="center"/>
          </w:tcPr>
          <w:p w14:paraId="2F1C12E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履约保证金</w:t>
            </w:r>
          </w:p>
        </w:tc>
        <w:tc>
          <w:tcPr>
            <w:tcW w:w="5960" w:type="dxa"/>
            <w:tcBorders>
              <w:top w:val="single" w:color="auto" w:sz="4" w:space="0"/>
            </w:tcBorders>
            <w:vAlign w:val="center"/>
          </w:tcPr>
          <w:p w14:paraId="625F29EC">
            <w:pPr>
              <w:spacing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无</w:t>
            </w:r>
          </w:p>
        </w:tc>
      </w:tr>
      <w:tr w14:paraId="7450E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1299" w:type="dxa"/>
            <w:tcBorders>
              <w:top w:val="single" w:color="auto" w:sz="4" w:space="0"/>
              <w:bottom w:val="single" w:color="auto" w:sz="4" w:space="0"/>
            </w:tcBorders>
            <w:vAlign w:val="center"/>
          </w:tcPr>
          <w:p w14:paraId="2C3FA921">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w:t>
            </w:r>
          </w:p>
        </w:tc>
        <w:tc>
          <w:tcPr>
            <w:tcW w:w="2235" w:type="dxa"/>
            <w:tcBorders>
              <w:top w:val="single" w:color="auto" w:sz="4" w:space="0"/>
              <w:bottom w:val="single" w:color="auto" w:sz="4" w:space="0"/>
            </w:tcBorders>
            <w:vAlign w:val="center"/>
          </w:tcPr>
          <w:p w14:paraId="3C24F00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付款方式</w:t>
            </w:r>
          </w:p>
        </w:tc>
        <w:tc>
          <w:tcPr>
            <w:tcW w:w="5960" w:type="dxa"/>
            <w:tcBorders>
              <w:top w:val="single" w:color="auto" w:sz="4" w:space="0"/>
              <w:bottom w:val="single" w:color="auto" w:sz="4" w:space="0"/>
            </w:tcBorders>
            <w:vAlign w:val="center"/>
          </w:tcPr>
          <w:p w14:paraId="5F35E222">
            <w:pPr>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相关费用支付比例：河南省生态环境厅大约55%；河南省生态环境监测和安全中心大约36%；河南省生态环境技术中心大约9%。三家单位分别与中标人签订合同。</w:t>
            </w:r>
          </w:p>
          <w:p w14:paraId="38EB64E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河南省生态环境厅、河南省生态环境监测和安全中心及河南省生态环境技术中心</w:t>
            </w:r>
            <w:r>
              <w:rPr>
                <w:rFonts w:hint="eastAsia" w:asciiTheme="minorEastAsia" w:hAnsiTheme="minorEastAsia" w:eastAsiaTheme="minorEastAsia" w:cstheme="minorEastAsia"/>
                <w:sz w:val="24"/>
                <w:highlight w:val="none"/>
              </w:rPr>
              <w:t>按月对服务方上月产生的费用进行支付，经双方对金额核对后，乙方每月底前开据符合国家规定的税务发票给甲方，甲方于次月支付相应的劳务服务费用。</w:t>
            </w:r>
          </w:p>
        </w:tc>
      </w:tr>
      <w:tr w14:paraId="29800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6" w:hRule="atLeast"/>
          <w:jc w:val="center"/>
        </w:trPr>
        <w:tc>
          <w:tcPr>
            <w:tcW w:w="1299" w:type="dxa"/>
            <w:tcBorders>
              <w:top w:val="single" w:color="auto" w:sz="4" w:space="0"/>
            </w:tcBorders>
            <w:vAlign w:val="center"/>
          </w:tcPr>
          <w:p w14:paraId="6E3FF8BE">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2235" w:type="dxa"/>
            <w:tcBorders>
              <w:top w:val="single" w:color="auto" w:sz="4" w:space="0"/>
            </w:tcBorders>
            <w:vAlign w:val="center"/>
          </w:tcPr>
          <w:p w14:paraId="0005D359">
            <w:pPr>
              <w:kinsoku w:val="0"/>
              <w:overflowPunct w:val="0"/>
              <w:autoSpaceDE w:val="0"/>
              <w:autoSpaceDN w:val="0"/>
              <w:adjustRightInd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采购代理服务费及代理机构开户账号</w:t>
            </w:r>
          </w:p>
        </w:tc>
        <w:tc>
          <w:tcPr>
            <w:tcW w:w="5960" w:type="dxa"/>
            <w:tcBorders>
              <w:top w:val="single" w:color="auto" w:sz="4" w:space="0"/>
            </w:tcBorders>
            <w:vAlign w:val="center"/>
          </w:tcPr>
          <w:p w14:paraId="3C010A5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是否由成交供应商缴纳采购代服务理费：是。</w:t>
            </w:r>
          </w:p>
          <w:p w14:paraId="5ABE985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采购代理服务费：参照《河南省招标代理服务收费指导意见》(豫招协【2023】002号)文规定的收费标准。由成交供应商在领取成交通知书之前一次性交纳。 代理机构开户账号：</w:t>
            </w:r>
          </w:p>
          <w:p w14:paraId="139EF4E7">
            <w:pPr>
              <w:spacing w:line="360" w:lineRule="auto"/>
              <w:rPr>
                <w:rFonts w:asciiTheme="minorEastAsia" w:hAnsiTheme="minorEastAsia" w:eastAsiaTheme="minorEastAsia" w:cstheme="minorEastAsia"/>
                <w:sz w:val="24"/>
                <w:highlight w:val="none"/>
              </w:rPr>
            </w:pPr>
            <w:bookmarkStart w:id="48" w:name="OLE_LINK6"/>
            <w:bookmarkStart w:id="49" w:name="OLE_LINK7"/>
            <w:r>
              <w:rPr>
                <w:rFonts w:hint="eastAsia" w:asciiTheme="minorEastAsia" w:hAnsiTheme="minorEastAsia" w:eastAsiaTheme="minorEastAsia" w:cstheme="minorEastAsia"/>
                <w:sz w:val="24"/>
                <w:highlight w:val="none"/>
              </w:rPr>
              <w:t>开户名称：河南省机电设备国际招标有限公司</w:t>
            </w:r>
          </w:p>
          <w:p w14:paraId="5D27704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开户账户：</w:t>
            </w:r>
            <w:r>
              <w:rPr>
                <w:rFonts w:hint="eastAsia" w:asciiTheme="minorEastAsia" w:hAnsiTheme="minorEastAsia" w:eastAsiaTheme="minorEastAsia" w:cstheme="minorEastAsia"/>
                <w:sz w:val="24"/>
                <w:szCs w:val="24"/>
                <w:highlight w:val="none"/>
              </w:rPr>
              <w:t>中原银行郑州花园路支行</w:t>
            </w:r>
          </w:p>
          <w:p w14:paraId="49429DA1">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开户账号：</w:t>
            </w:r>
            <w:r>
              <w:rPr>
                <w:rFonts w:hint="eastAsia" w:asciiTheme="minorEastAsia" w:hAnsiTheme="minorEastAsia" w:eastAsiaTheme="minorEastAsia" w:cstheme="minorEastAsia"/>
                <w:sz w:val="24"/>
                <w:szCs w:val="24"/>
                <w:highlight w:val="none"/>
              </w:rPr>
              <w:t>410126010100072801</w:t>
            </w:r>
            <w:bookmarkEnd w:id="48"/>
            <w:bookmarkEnd w:id="49"/>
          </w:p>
        </w:tc>
      </w:tr>
      <w:tr w14:paraId="53811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1299" w:type="dxa"/>
            <w:tcBorders>
              <w:top w:val="single" w:color="auto" w:sz="4" w:space="0"/>
              <w:bottom w:val="single" w:color="auto" w:sz="4" w:space="0"/>
            </w:tcBorders>
            <w:vAlign w:val="center"/>
          </w:tcPr>
          <w:p w14:paraId="63723503">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2235" w:type="dxa"/>
            <w:tcBorders>
              <w:top w:val="single" w:color="auto" w:sz="4" w:space="0"/>
              <w:bottom w:val="single" w:color="auto" w:sz="4" w:space="0"/>
            </w:tcBorders>
            <w:vAlign w:val="center"/>
          </w:tcPr>
          <w:p w14:paraId="47847FC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质疑的提出与接收</w:t>
            </w:r>
          </w:p>
        </w:tc>
        <w:tc>
          <w:tcPr>
            <w:tcW w:w="5960" w:type="dxa"/>
            <w:tcBorders>
              <w:top w:val="single" w:color="auto" w:sz="4" w:space="0"/>
              <w:bottom w:val="single" w:color="auto" w:sz="4" w:space="0"/>
            </w:tcBorders>
            <w:vAlign w:val="center"/>
          </w:tcPr>
          <w:p w14:paraId="668FDD6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①供应商认为自己的权益受到损害的，可以在知道或者应该知道其权益受到损害之日起七个工作日内，向采购代理机构提出质疑。</w:t>
            </w:r>
          </w:p>
          <w:p w14:paraId="5B23D81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②质疑函的内容、格式：应符合《政府采购质疑和投诉办法》相关规定和财政部门制定的《政府采购质疑函范本》格式。</w:t>
            </w:r>
          </w:p>
          <w:p w14:paraId="53259CE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③供应商应在法定质疑期内一次性针对同一采购程序环节提出质疑，否则针对再次提出质疑将不予接收。（采购程序环节分为：采购公告、采购文件、采购过程、成交结果）。</w:t>
            </w:r>
          </w:p>
          <w:p w14:paraId="6CD0487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④接收质疑函的方式：接收加盖单位公章、法定的代表人签字（或加盖个人印章）的书面质疑函。</w:t>
            </w:r>
          </w:p>
          <w:p w14:paraId="5186F6B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称：河南省机电设备国际招标有限公司</w:t>
            </w:r>
          </w:p>
          <w:p w14:paraId="1E028325">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地址：郑州市管城区黄河南路与商都路交汇处西南角财信大厦1408室</w:t>
            </w:r>
          </w:p>
          <w:p w14:paraId="29DB28F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联系人：陈鹏、赵壮壮、刘倩</w:t>
            </w:r>
          </w:p>
          <w:p w14:paraId="04E808D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联系</w:t>
            </w:r>
            <w:r>
              <w:rPr>
                <w:rFonts w:hint="eastAsia" w:asciiTheme="minorEastAsia" w:hAnsiTheme="minorEastAsia" w:eastAsiaTheme="minorEastAsia" w:cstheme="minorEastAsia"/>
                <w:sz w:val="24"/>
                <w:highlight w:val="none"/>
              </w:rPr>
              <w:t>方式：0371-86656599</w:t>
            </w:r>
          </w:p>
        </w:tc>
      </w:tr>
      <w:tr w14:paraId="24293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8" w:hRule="atLeast"/>
          <w:jc w:val="center"/>
        </w:trPr>
        <w:tc>
          <w:tcPr>
            <w:tcW w:w="1299" w:type="dxa"/>
            <w:tcBorders>
              <w:top w:val="single" w:color="auto" w:sz="4" w:space="0"/>
              <w:bottom w:val="single" w:color="auto" w:sz="4" w:space="0"/>
            </w:tcBorders>
            <w:vAlign w:val="center"/>
          </w:tcPr>
          <w:p w14:paraId="7531D3BC">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w:t>
            </w:r>
          </w:p>
        </w:tc>
        <w:tc>
          <w:tcPr>
            <w:tcW w:w="2235" w:type="dxa"/>
            <w:tcBorders>
              <w:top w:val="single" w:color="auto" w:sz="4" w:space="0"/>
              <w:bottom w:val="single" w:color="auto" w:sz="4" w:space="0"/>
            </w:tcBorders>
            <w:vAlign w:val="center"/>
          </w:tcPr>
          <w:p w14:paraId="4184E869">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履约验收</w:t>
            </w:r>
          </w:p>
        </w:tc>
        <w:tc>
          <w:tcPr>
            <w:tcW w:w="5960" w:type="dxa"/>
            <w:tcBorders>
              <w:top w:val="single" w:color="auto" w:sz="4" w:space="0"/>
              <w:bottom w:val="single" w:color="auto" w:sz="4" w:space="0"/>
            </w:tcBorders>
            <w:vAlign w:val="center"/>
          </w:tcPr>
          <w:p w14:paraId="75CBB4F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采购人依据合同约定的各项技术要求，对中标（成交）供应商提交成果进行验收。</w:t>
            </w:r>
          </w:p>
        </w:tc>
      </w:tr>
      <w:tr w14:paraId="32AAB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299" w:type="dxa"/>
            <w:tcBorders>
              <w:top w:val="single" w:color="auto" w:sz="4" w:space="0"/>
              <w:bottom w:val="single" w:color="auto" w:sz="4" w:space="0"/>
            </w:tcBorders>
            <w:vAlign w:val="center"/>
          </w:tcPr>
          <w:p w14:paraId="23385C26">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2235" w:type="dxa"/>
            <w:tcBorders>
              <w:top w:val="single" w:color="auto" w:sz="4" w:space="0"/>
              <w:bottom w:val="single" w:color="auto" w:sz="4" w:space="0"/>
            </w:tcBorders>
            <w:vAlign w:val="center"/>
          </w:tcPr>
          <w:p w14:paraId="1368FFA8">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需要补充的其它内容</w:t>
            </w:r>
          </w:p>
        </w:tc>
        <w:tc>
          <w:tcPr>
            <w:tcW w:w="5960" w:type="dxa"/>
            <w:tcBorders>
              <w:top w:val="single" w:color="auto" w:sz="4" w:space="0"/>
              <w:bottom w:val="single" w:color="auto" w:sz="4" w:space="0"/>
            </w:tcBorders>
            <w:vAlign w:val="center"/>
          </w:tcPr>
          <w:p w14:paraId="411E251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7BDFB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tcBorders>
              <w:top w:val="single" w:color="auto" w:sz="4" w:space="0"/>
              <w:bottom w:val="single" w:color="auto" w:sz="4" w:space="0"/>
            </w:tcBorders>
            <w:vAlign w:val="center"/>
          </w:tcPr>
          <w:p w14:paraId="1185B76E">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p>
        </w:tc>
        <w:tc>
          <w:tcPr>
            <w:tcW w:w="2235" w:type="dxa"/>
            <w:tcBorders>
              <w:top w:val="single" w:color="auto" w:sz="4" w:space="0"/>
              <w:bottom w:val="single" w:color="auto" w:sz="4" w:space="0"/>
            </w:tcBorders>
            <w:vAlign w:val="center"/>
          </w:tcPr>
          <w:p w14:paraId="095ED299">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本项目对应的中小企业划分标准所属行业</w:t>
            </w:r>
          </w:p>
        </w:tc>
        <w:tc>
          <w:tcPr>
            <w:tcW w:w="5960" w:type="dxa"/>
            <w:tcBorders>
              <w:top w:val="single" w:color="auto" w:sz="4" w:space="0"/>
              <w:bottom w:val="single" w:color="auto" w:sz="4" w:space="0"/>
            </w:tcBorders>
            <w:vAlign w:val="center"/>
          </w:tcPr>
          <w:p w14:paraId="5C38773D">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餐饮业</w:t>
            </w:r>
            <w:r>
              <w:rPr>
                <w:rFonts w:hint="eastAsia" w:asciiTheme="minorEastAsia" w:hAnsiTheme="minorEastAsia" w:eastAsiaTheme="minorEastAsia" w:cstheme="minorEastAsia"/>
                <w:sz w:val="24"/>
                <w:highlight w:val="none"/>
              </w:rPr>
              <w:t>。</w:t>
            </w:r>
          </w:p>
        </w:tc>
      </w:tr>
      <w:tr w14:paraId="4888E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tcBorders>
              <w:top w:val="single" w:color="auto" w:sz="4" w:space="0"/>
              <w:bottom w:val="single" w:color="auto" w:sz="4" w:space="0"/>
            </w:tcBorders>
            <w:vAlign w:val="center"/>
          </w:tcPr>
          <w:p w14:paraId="014E546B">
            <w:pPr>
              <w:spacing w:line="36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21.3</w:t>
            </w:r>
          </w:p>
        </w:tc>
        <w:tc>
          <w:tcPr>
            <w:tcW w:w="2235" w:type="dxa"/>
            <w:tcBorders>
              <w:top w:val="single" w:color="auto" w:sz="4" w:space="0"/>
              <w:bottom w:val="single" w:color="auto" w:sz="4" w:space="0"/>
            </w:tcBorders>
            <w:vAlign w:val="center"/>
          </w:tcPr>
          <w:p w14:paraId="2D46A0E1">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其他【重要提醒】</w:t>
            </w:r>
          </w:p>
        </w:tc>
        <w:tc>
          <w:tcPr>
            <w:tcW w:w="5960" w:type="dxa"/>
            <w:tcBorders>
              <w:top w:val="single" w:color="auto" w:sz="4" w:space="0"/>
              <w:bottom w:val="single" w:color="auto" w:sz="4" w:space="0"/>
            </w:tcBorders>
            <w:vAlign w:val="center"/>
          </w:tcPr>
          <w:p w14:paraId="16A77E4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人和采购代理机构对已发出的采购文件进行的澄清、更正或更改，澄清、更正或更改的内容将作为采购文件组成部分。采购代理机构将通过网站“变更公告”和系统内部“答疑文件”告知投标供应商，对于项目中已经下载采购文件的投标供应商，系统将通过第三方短信群发方式提醒投标供应商进行查询。各投标供应商须重新下载最新的采购文件及答疑文件，以此编制响应文件。投标供应商注册时所留手机联系方式要保持畅通，因联系方式变更而未及时更新系统内联系方式的，将会造成收不到短信。此短信仅系友情提示，并具有任何约束性和必要性，采购人和采购代理机构不承担投标供应商未收到短信而引起的一切后果和法律责任。</w:t>
            </w:r>
          </w:p>
          <w:p w14:paraId="3A5948D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2.因河南省公共资源交易中心平台在开标前具有保密性，投标供应商在响应文件递交截止时间前须自行查看项目进展、变更通知、澄清及回复，因投标供应商未及时查看而造成的后果自负。</w:t>
            </w:r>
          </w:p>
          <w:p w14:paraId="5651749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采用“远程不见面”开标方式，远程开标大厅网址为http://www.hnggzy.com/，投标供应商无需到河南省公共资源交易中心现场参加开标会议，无需到达现场提交原件资料。投标供应商应当在投标截止时间前，登录远程开标大厅，在线准时参加开标活动并进行响应文件解密等。</w:t>
            </w:r>
          </w:p>
        </w:tc>
      </w:tr>
    </w:tbl>
    <w:p w14:paraId="2039ECD5">
      <w:pPr>
        <w:pStyle w:val="43"/>
        <w:rPr>
          <w:rFonts w:hAnsi="宋体" w:cs="宋体"/>
          <w:color w:val="auto"/>
          <w:highlight w:val="none"/>
        </w:rPr>
      </w:pPr>
    </w:p>
    <w:p w14:paraId="6F737171">
      <w:pPr>
        <w:pStyle w:val="43"/>
        <w:rPr>
          <w:rFonts w:hAnsi="宋体" w:cs="宋体"/>
          <w:color w:val="auto"/>
          <w:highlight w:val="none"/>
        </w:rPr>
      </w:pPr>
    </w:p>
    <w:p w14:paraId="1CC1E829">
      <w:pPr>
        <w:pStyle w:val="43"/>
        <w:rPr>
          <w:rFonts w:hAnsi="宋体" w:cs="宋体"/>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A2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7DD4C697">
            <w:pPr>
              <w:pStyle w:val="2"/>
              <w:spacing w:before="0" w:after="0" w:line="360" w:lineRule="auto"/>
              <w:rPr>
                <w:rFonts w:ascii="宋体" w:hAnsi="宋体" w:eastAsia="宋体" w:cs="宋体"/>
                <w:b w:val="0"/>
                <w:bCs w:val="0"/>
                <w:sz w:val="24"/>
                <w:szCs w:val="24"/>
                <w:highlight w:val="none"/>
              </w:rPr>
            </w:pPr>
            <w:bookmarkStart w:id="50" w:name="_Toc1466"/>
            <w:bookmarkStart w:id="51" w:name="_Toc27817"/>
            <w:bookmarkStart w:id="52" w:name="_Toc29100"/>
            <w:bookmarkStart w:id="53" w:name="_Toc21215"/>
            <w:bookmarkStart w:id="54" w:name="_Toc15048288"/>
            <w:bookmarkStart w:id="55" w:name="_Toc532473449"/>
            <w:bookmarkStart w:id="56" w:name="_Toc21015"/>
            <w:r>
              <w:rPr>
                <w:rFonts w:hint="eastAsia" w:ascii="宋体" w:hAnsi="宋体" w:eastAsia="宋体" w:cs="宋体"/>
                <w:b w:val="0"/>
                <w:bCs w:val="0"/>
                <w:sz w:val="24"/>
                <w:szCs w:val="24"/>
                <w:highlight w:val="none"/>
              </w:rPr>
              <w:t>政府采购相关政策：</w:t>
            </w:r>
            <w:bookmarkEnd w:id="50"/>
            <w:bookmarkEnd w:id="51"/>
          </w:p>
          <w:p w14:paraId="5890AFD7">
            <w:pPr>
              <w:pStyle w:val="2"/>
              <w:spacing w:before="0" w:after="0" w:line="360" w:lineRule="auto"/>
              <w:rPr>
                <w:rFonts w:ascii="宋体" w:hAnsi="宋体" w:eastAsia="宋体" w:cs="宋体"/>
                <w:b w:val="0"/>
                <w:bCs w:val="0"/>
                <w:sz w:val="24"/>
                <w:szCs w:val="24"/>
                <w:highlight w:val="none"/>
              </w:rPr>
            </w:pPr>
            <w:bookmarkStart w:id="57" w:name="_Toc376"/>
            <w:bookmarkStart w:id="58" w:name="_Toc29348"/>
            <w:r>
              <w:rPr>
                <w:rFonts w:hint="eastAsia" w:ascii="宋体" w:hAnsi="宋体" w:eastAsia="宋体" w:cs="宋体"/>
                <w:b w:val="0"/>
                <w:bCs w:val="0"/>
                <w:sz w:val="24"/>
                <w:szCs w:val="24"/>
                <w:highlight w:val="none"/>
              </w:rPr>
              <w:t>A、为贯彻落实财库[2020]46 号《财政部、工信部关于印发&lt;政府采购促进中小企业发展管理办法&gt;的通知》、《关于进一步加大政府采购支持中小企业力度的通知》财库〔2022〕19号、豫财购[2013]14 号《河南省财政厅、河南省工业和信息化厅关于政府采购促进小型微型企业发展的实施意见》、郑财购[2019]9 号《郑州市财政局关于充分发挥政府采购政策功能促进中小企业发展有关问题的通知》，本项目鼓励中小企业参与投标，中小企业划型标准以工信部联企业〔2011〕300 号《工业和信息化部、国家统计局、国家发展和改革委员会、财政部关于印发中小企业划型标准规定的通知》、国家统计局关于印发《统计上大中小微型企业划分办法（2017）》的通知为依据，</w:t>
            </w:r>
            <w:r>
              <w:rPr>
                <w:rFonts w:hint="eastAsia" w:ascii="宋体" w:hAnsi="宋体" w:eastAsia="宋体" w:cs="宋体"/>
                <w:sz w:val="24"/>
                <w:szCs w:val="24"/>
                <w:highlight w:val="none"/>
              </w:rPr>
              <w:t>本次招标所属行业类别属于</w:t>
            </w:r>
            <w:r>
              <w:rPr>
                <w:rFonts w:hint="eastAsia" w:ascii="宋体" w:hAnsi="宋体" w:eastAsia="宋体" w:cs="宋体"/>
                <w:sz w:val="24"/>
                <w:szCs w:val="24"/>
                <w:highlight w:val="none"/>
                <w:lang w:eastAsia="zh-CN"/>
              </w:rPr>
              <w:t>餐饮业</w:t>
            </w:r>
            <w:r>
              <w:rPr>
                <w:rFonts w:hint="eastAsia" w:ascii="宋体" w:hAnsi="宋体" w:eastAsia="宋体" w:cs="宋体"/>
                <w:b w:val="0"/>
                <w:bCs w:val="0"/>
                <w:sz w:val="24"/>
                <w:szCs w:val="24"/>
                <w:highlight w:val="none"/>
              </w:rPr>
              <w:t>。</w:t>
            </w:r>
            <w:bookmarkEnd w:id="57"/>
            <w:bookmarkEnd w:id="58"/>
          </w:p>
          <w:p w14:paraId="69CC5762">
            <w:pPr>
              <w:pStyle w:val="2"/>
              <w:spacing w:before="0" w:after="0" w:line="360" w:lineRule="auto"/>
              <w:rPr>
                <w:rFonts w:hint="eastAsia" w:ascii="宋体" w:hAnsi="宋体" w:eastAsia="宋体" w:cs="宋体"/>
                <w:b w:val="0"/>
                <w:bCs w:val="0"/>
                <w:sz w:val="24"/>
                <w:szCs w:val="24"/>
                <w:highlight w:val="none"/>
                <w:lang w:eastAsia="zh-CN"/>
              </w:rPr>
            </w:pPr>
            <w:bookmarkStart w:id="59" w:name="_Toc6598"/>
            <w:bookmarkStart w:id="60" w:name="_Toc10019"/>
            <w:r>
              <w:rPr>
                <w:rFonts w:hint="eastAsia" w:ascii="宋体" w:hAnsi="宋体" w:eastAsia="宋体" w:cs="宋体"/>
                <w:b w:val="0"/>
                <w:bCs w:val="0"/>
                <w:sz w:val="24"/>
                <w:szCs w:val="24"/>
                <w:highlight w:val="none"/>
              </w:rPr>
              <w:t>B、关于投标报价评分中给予小微企业优惠的说明：本项目专门面向中小企业采购，不再执行价格评审优惠的扶持政策</w:t>
            </w:r>
            <w:bookmarkEnd w:id="59"/>
            <w:bookmarkEnd w:id="60"/>
            <w:r>
              <w:rPr>
                <w:rFonts w:hint="eastAsia" w:ascii="宋体" w:hAnsi="宋体" w:eastAsia="宋体" w:cs="宋体"/>
                <w:b w:val="0"/>
                <w:bCs w:val="0"/>
                <w:sz w:val="24"/>
                <w:szCs w:val="24"/>
                <w:highlight w:val="none"/>
                <w:lang w:eastAsia="zh-CN"/>
              </w:rPr>
              <w:t>。</w:t>
            </w:r>
          </w:p>
          <w:p w14:paraId="3AB9A66E">
            <w:pPr>
              <w:pStyle w:val="2"/>
              <w:spacing w:before="0" w:after="0" w:line="360" w:lineRule="auto"/>
              <w:rPr>
                <w:rFonts w:ascii="宋体" w:hAnsi="宋体" w:eastAsia="宋体" w:cs="宋体"/>
                <w:b w:val="0"/>
                <w:bCs w:val="0"/>
                <w:sz w:val="24"/>
                <w:szCs w:val="24"/>
                <w:highlight w:val="none"/>
              </w:rPr>
            </w:pPr>
            <w:bookmarkStart w:id="61" w:name="_Toc22542"/>
            <w:bookmarkStart w:id="62" w:name="_Toc27444"/>
            <w:r>
              <w:rPr>
                <w:rFonts w:hint="eastAsia" w:ascii="宋体" w:hAnsi="宋体" w:eastAsia="宋体" w:cs="宋体"/>
                <w:b w:val="0"/>
                <w:bCs w:val="0"/>
                <w:sz w:val="24"/>
                <w:szCs w:val="24"/>
                <w:highlight w:val="none"/>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 出具的属于监狱企业的证明文件，视同小型、微型企业，享受评审中价格扣除等政府采购促进中小企业发展的政府采购政策，监狱企业属于小型、微型企业的，不重复享受政策。</w:t>
            </w:r>
            <w:bookmarkEnd w:id="61"/>
            <w:bookmarkEnd w:id="62"/>
          </w:p>
          <w:p w14:paraId="448D90B9">
            <w:pPr>
              <w:pStyle w:val="2"/>
              <w:spacing w:before="0" w:after="0" w:line="360" w:lineRule="auto"/>
              <w:rPr>
                <w:rFonts w:ascii="宋体" w:hAnsi="宋体" w:eastAsia="宋体" w:cs="宋体"/>
                <w:b w:val="0"/>
                <w:bCs w:val="0"/>
                <w:sz w:val="24"/>
                <w:szCs w:val="24"/>
                <w:highlight w:val="none"/>
              </w:rPr>
            </w:pPr>
            <w:bookmarkStart w:id="63" w:name="_Toc22731"/>
            <w:bookmarkStart w:id="64" w:name="_Toc12466"/>
            <w:r>
              <w:rPr>
                <w:rFonts w:hint="eastAsia" w:ascii="宋体" w:hAnsi="宋体" w:eastAsia="宋体" w:cs="宋体"/>
                <w:b w:val="0"/>
                <w:bCs w:val="0"/>
                <w:sz w:val="24"/>
                <w:szCs w:val="24"/>
                <w:highlight w:val="none"/>
              </w:rPr>
              <w:t>D、根据《关于促进残疾人就业政府采购政策的通知》（财库〔2017〕141 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bookmarkEnd w:id="63"/>
            <w:bookmarkEnd w:id="64"/>
          </w:p>
          <w:p w14:paraId="7D5A99AF">
            <w:pPr>
              <w:pStyle w:val="2"/>
              <w:spacing w:before="0" w:after="0" w:line="360" w:lineRule="auto"/>
              <w:rPr>
                <w:rFonts w:ascii="宋体" w:hAnsi="宋体" w:eastAsia="宋体" w:cs="宋体"/>
                <w:b w:val="0"/>
                <w:bCs w:val="0"/>
                <w:sz w:val="24"/>
                <w:szCs w:val="24"/>
                <w:highlight w:val="none"/>
              </w:rPr>
            </w:pPr>
            <w:bookmarkStart w:id="65" w:name="_Toc23663"/>
            <w:bookmarkStart w:id="66" w:name="_Toc13125"/>
            <w:r>
              <w:rPr>
                <w:rFonts w:hint="eastAsia" w:ascii="宋体" w:hAnsi="宋体" w:eastAsia="宋体" w:cs="宋体"/>
                <w:b w:val="0"/>
                <w:bCs w:val="0"/>
                <w:sz w:val="24"/>
                <w:szCs w:val="24"/>
                <w:highlight w:val="none"/>
              </w:rPr>
              <w:t>E、根据财库[2019]9 号《财政部、发展改革委、生态环境部、市场监管总局关于调整优化节能产品、环境标志产品政府采购执行机制的通知》、财库[2019]18 号《财政部、生态环境部关于印发环境标志产品政府采购品目清单的通知》、财库[2019]19 号《财政部、发展改革委关于印发节能产品政府采购品目清单的通知》文件规定，本项目如涉及到节能产品、环境标志产品政府采购品目清单内的产品， 将依据国家确定的认证机构出具的、处于有效期之内的节能产品、环境标志产品认证证书，对获得证书的产品实施优先采购或强制采购。</w:t>
            </w:r>
            <w:bookmarkEnd w:id="65"/>
            <w:bookmarkEnd w:id="66"/>
          </w:p>
          <w:p w14:paraId="23AF92D7">
            <w:pPr>
              <w:pStyle w:val="2"/>
              <w:spacing w:before="0" w:after="0" w:line="360" w:lineRule="auto"/>
              <w:rPr>
                <w:rFonts w:ascii="宋体" w:hAnsi="宋体" w:eastAsia="宋体" w:cs="宋体"/>
                <w:b w:val="0"/>
                <w:bCs w:val="0"/>
                <w:sz w:val="24"/>
                <w:szCs w:val="24"/>
                <w:highlight w:val="none"/>
              </w:rPr>
            </w:pPr>
            <w:bookmarkStart w:id="67" w:name="_Toc31279"/>
            <w:bookmarkStart w:id="68" w:name="_Toc11528"/>
            <w:r>
              <w:rPr>
                <w:rFonts w:hint="eastAsia" w:ascii="宋体" w:hAnsi="宋体" w:eastAsia="宋体" w:cs="宋体"/>
                <w:b w:val="0"/>
                <w:bCs w:val="0"/>
                <w:sz w:val="24"/>
                <w:szCs w:val="24"/>
                <w:highlight w:val="none"/>
              </w:rPr>
              <w:t>F、根据《政府采购进口产品管理办法》（财库[2007]119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bookmarkEnd w:id="67"/>
            <w:bookmarkEnd w:id="68"/>
          </w:p>
          <w:p w14:paraId="3D244582">
            <w:pPr>
              <w:pStyle w:val="2"/>
              <w:spacing w:before="0" w:after="0" w:line="360" w:lineRule="auto"/>
              <w:rPr>
                <w:rFonts w:ascii="宋体" w:hAnsi="宋体" w:eastAsia="宋体" w:cs="宋体"/>
                <w:b w:val="0"/>
                <w:bCs w:val="0"/>
                <w:sz w:val="24"/>
                <w:szCs w:val="24"/>
                <w:highlight w:val="none"/>
              </w:rPr>
            </w:pPr>
            <w:bookmarkStart w:id="69" w:name="_Toc2910"/>
            <w:bookmarkStart w:id="70" w:name="_Toc14388"/>
            <w:r>
              <w:rPr>
                <w:rFonts w:hint="eastAsia" w:ascii="宋体" w:hAnsi="宋体" w:eastAsia="宋体" w:cs="宋体"/>
                <w:b w:val="0"/>
                <w:bCs w:val="0"/>
                <w:sz w:val="24"/>
                <w:szCs w:val="24"/>
                <w:highlight w:val="none"/>
              </w:rPr>
              <w:t>G、根据政府采购政策，本项目如涉及到自主创新首购产品，应当采购由财政部会同科技部等部门制定的《政府采购自主创新产品目录》内的产品。</w:t>
            </w:r>
            <w:bookmarkEnd w:id="69"/>
            <w:bookmarkEnd w:id="70"/>
          </w:p>
          <w:p w14:paraId="6E7DC672">
            <w:pPr>
              <w:pStyle w:val="2"/>
              <w:spacing w:before="0" w:after="0" w:line="360" w:lineRule="auto"/>
              <w:rPr>
                <w:rFonts w:ascii="宋体" w:hAnsi="宋体" w:eastAsia="宋体" w:cs="宋体"/>
                <w:b w:val="0"/>
                <w:bCs w:val="0"/>
                <w:sz w:val="24"/>
                <w:szCs w:val="24"/>
                <w:highlight w:val="none"/>
              </w:rPr>
            </w:pPr>
            <w:bookmarkStart w:id="71" w:name="_Toc6124"/>
            <w:bookmarkStart w:id="72" w:name="_Toc2502"/>
            <w:r>
              <w:rPr>
                <w:rFonts w:hint="eastAsia" w:ascii="宋体" w:hAnsi="宋体" w:eastAsia="宋体" w:cs="宋体"/>
                <w:b w:val="0"/>
                <w:bCs w:val="0"/>
                <w:sz w:val="24"/>
                <w:szCs w:val="24"/>
                <w:highlight w:val="none"/>
              </w:rPr>
              <w:t>H、根据政府采购政策，本项目如涉及到无线局域网产品，应当优先采购《无线局域网认证产品政府采购清单》内的产品，如涉及到信息安全产品，应当采购经国家认证的信息安全产品。</w:t>
            </w:r>
            <w:bookmarkEnd w:id="71"/>
            <w:bookmarkEnd w:id="72"/>
          </w:p>
          <w:p w14:paraId="3B97DF43">
            <w:pPr>
              <w:pStyle w:val="2"/>
              <w:spacing w:before="0" w:after="0" w:line="360" w:lineRule="auto"/>
              <w:rPr>
                <w:rFonts w:ascii="宋体" w:hAnsi="宋体" w:eastAsia="宋体" w:cs="宋体"/>
                <w:b w:val="0"/>
                <w:bCs w:val="0"/>
                <w:sz w:val="24"/>
                <w:szCs w:val="24"/>
                <w:highlight w:val="none"/>
              </w:rPr>
            </w:pPr>
            <w:bookmarkStart w:id="73" w:name="_Toc15841"/>
            <w:bookmarkStart w:id="74" w:name="_Toc7231"/>
            <w:r>
              <w:rPr>
                <w:rFonts w:hint="eastAsia" w:ascii="宋体" w:hAnsi="宋体" w:eastAsia="宋体" w:cs="宋体"/>
                <w:b w:val="0"/>
                <w:bCs w:val="0"/>
                <w:sz w:val="24"/>
                <w:szCs w:val="24"/>
                <w:highlight w:val="none"/>
              </w:rPr>
              <w:t>I、根据政府采购政策，本项目如涉及到计算机办公设备产品，供应商所投产品必须是预装正版操作系统软件的计算机产品。</w:t>
            </w:r>
            <w:bookmarkEnd w:id="73"/>
            <w:bookmarkEnd w:id="74"/>
          </w:p>
          <w:p w14:paraId="5D2E040C">
            <w:pPr>
              <w:pStyle w:val="2"/>
              <w:spacing w:before="0" w:after="0" w:line="360" w:lineRule="auto"/>
              <w:rPr>
                <w:rFonts w:ascii="宋体" w:hAnsi="宋体" w:eastAsia="宋体" w:cs="宋体"/>
                <w:b w:val="0"/>
                <w:bCs w:val="0"/>
                <w:sz w:val="24"/>
                <w:szCs w:val="24"/>
                <w:highlight w:val="none"/>
              </w:rPr>
            </w:pPr>
            <w:bookmarkStart w:id="75" w:name="_Toc1034"/>
            <w:bookmarkStart w:id="76" w:name="_Toc28474"/>
            <w:r>
              <w:rPr>
                <w:rFonts w:hint="eastAsia" w:ascii="宋体" w:hAnsi="宋体" w:eastAsia="宋体" w:cs="宋体"/>
                <w:b w:val="0"/>
                <w:bCs w:val="0"/>
                <w:sz w:val="24"/>
                <w:szCs w:val="24"/>
                <w:highlight w:val="none"/>
              </w:rPr>
              <w:t>J、依据财库[2020]46 号《财政部、工信部关于印发&lt;政府采购促进中小企业发展管理办法&gt;的通知》，享受扶持政策获得政府采购合同的，小微企业不得将合同分包给大中型企业，中型企业不得将合同分包给大型企业。</w:t>
            </w:r>
            <w:bookmarkEnd w:id="75"/>
            <w:bookmarkEnd w:id="76"/>
          </w:p>
          <w:p w14:paraId="2D30C8DB">
            <w:pPr>
              <w:pStyle w:val="2"/>
              <w:spacing w:before="0" w:after="0" w:line="360" w:lineRule="auto"/>
              <w:rPr>
                <w:rFonts w:hint="eastAsia" w:ascii="宋体" w:hAnsi="宋体" w:eastAsia="宋体" w:cs="宋体"/>
                <w:b w:val="0"/>
                <w:bCs w:val="0"/>
                <w:sz w:val="24"/>
                <w:szCs w:val="24"/>
                <w:highlight w:val="none"/>
              </w:rPr>
            </w:pPr>
            <w:bookmarkStart w:id="77" w:name="_Toc31902"/>
            <w:bookmarkStart w:id="78" w:name="_Toc13140"/>
            <w:r>
              <w:rPr>
                <w:rFonts w:hint="eastAsia" w:ascii="宋体" w:hAnsi="宋体" w:eastAsia="宋体" w:cs="宋体"/>
                <w:b w:val="0"/>
                <w:bCs w:val="0"/>
                <w:sz w:val="24"/>
                <w:szCs w:val="24"/>
                <w:highlight w:val="none"/>
              </w:rPr>
              <w:t>K、其它未尽事宜，按国家有关法律、法规执行。</w:t>
            </w:r>
            <w:bookmarkEnd w:id="77"/>
            <w:bookmarkEnd w:id="78"/>
          </w:p>
          <w:p w14:paraId="0B2E8201">
            <w:pPr>
              <w:rPr>
                <w:rFonts w:hint="default" w:eastAsia="宋体"/>
                <w:lang w:val="en-US" w:eastAsia="zh-CN"/>
              </w:rPr>
            </w:pPr>
            <w:r>
              <w:rPr>
                <w:rFonts w:hint="eastAsia"/>
                <w:lang w:val="en-US" w:eastAsia="zh-CN"/>
              </w:rPr>
              <w:t>L、</w:t>
            </w:r>
            <w:r>
              <w:rPr>
                <w:rFonts w:hint="eastAsia" w:ascii="宋体" w:hAnsi="宋体" w:eastAsia="宋体" w:cs="宋体"/>
                <w:sz w:val="24"/>
                <w:szCs w:val="24"/>
                <w:lang w:val="en-US" w:eastAsia="zh-CN"/>
              </w:rPr>
              <w:t>本项目落实《关于推动解决政府采购异常低价问题的通知》(财库〔2026〕2 号)政策</w:t>
            </w:r>
            <w:r>
              <w:rPr>
                <w:rFonts w:hint="eastAsia" w:ascii="宋体" w:hAnsi="宋体" w:cs="宋体"/>
                <w:sz w:val="24"/>
                <w:szCs w:val="24"/>
                <w:lang w:val="en-US" w:eastAsia="zh-CN"/>
              </w:rPr>
              <w:t>。</w:t>
            </w:r>
          </w:p>
          <w:p w14:paraId="08D25041">
            <w:pPr>
              <w:pStyle w:val="2"/>
              <w:spacing w:before="0" w:after="0" w:line="360" w:lineRule="auto"/>
              <w:rPr>
                <w:rFonts w:ascii="宋体" w:hAnsi="宋体" w:eastAsia="宋体" w:cs="宋体"/>
                <w:b w:val="0"/>
                <w:bCs w:val="0"/>
                <w:sz w:val="24"/>
                <w:szCs w:val="24"/>
                <w:highlight w:val="none"/>
              </w:rPr>
            </w:pPr>
            <w:bookmarkStart w:id="79" w:name="_Toc25748"/>
            <w:bookmarkStart w:id="80" w:name="_Toc3813"/>
            <w:r>
              <w:rPr>
                <w:rFonts w:hint="eastAsia" w:ascii="宋体" w:hAnsi="宋体" w:eastAsia="宋体" w:cs="宋体"/>
                <w:b w:val="0"/>
                <w:bCs w:val="0"/>
                <w:sz w:val="24"/>
                <w:szCs w:val="24"/>
                <w:highlight w:val="none"/>
              </w:rPr>
              <w:t>5、其他说明</w:t>
            </w:r>
            <w:bookmarkEnd w:id="79"/>
            <w:bookmarkEnd w:id="80"/>
          </w:p>
          <w:p w14:paraId="3E65C2FF">
            <w:pPr>
              <w:pStyle w:val="2"/>
              <w:spacing w:before="0" w:after="0" w:line="360" w:lineRule="auto"/>
              <w:rPr>
                <w:rFonts w:hint="eastAsia" w:ascii="宋体" w:hAnsi="宋体" w:eastAsia="宋体" w:cs="宋体"/>
                <w:b w:val="0"/>
                <w:bCs w:val="0"/>
                <w:sz w:val="24"/>
                <w:szCs w:val="24"/>
                <w:highlight w:val="none"/>
              </w:rPr>
            </w:pPr>
            <w:bookmarkStart w:id="81" w:name="_Toc1580"/>
            <w:bookmarkStart w:id="82" w:name="_Toc106"/>
            <w:r>
              <w:rPr>
                <w:rFonts w:hint="eastAsia" w:ascii="宋体" w:hAnsi="宋体" w:eastAsia="宋体" w:cs="宋体"/>
                <w:b w:val="0"/>
                <w:bCs w:val="0"/>
                <w:sz w:val="24"/>
                <w:szCs w:val="24"/>
                <w:highlight w:val="none"/>
              </w:rPr>
              <w:t>A、本项目二次报价采用远程报价，响应人应及时关注河南省公共资源交易中心系统上的二次报价倒计时的通知，应在规定的时间内进行第二次磋商报价(不得高于第一次磋商报价)，未在交易平台系统规定时间内进行第二次磋商报价或第二次磋商报价未提交成功的，除供应商声明放弃报价外,将默认上一轮报价为本轮报价， 由此产生的一切后果由响应人自行承担。</w:t>
            </w:r>
            <w:bookmarkEnd w:id="81"/>
            <w:bookmarkEnd w:id="82"/>
          </w:p>
          <w:p w14:paraId="4713EF31">
            <w:pPr>
              <w:rPr>
                <w:b/>
                <w:bCs/>
              </w:rPr>
            </w:pPr>
            <w:r>
              <w:rPr>
                <w:rFonts w:hint="eastAsia"/>
                <w:b/>
                <w:bCs/>
                <w:lang w:val="en-US" w:eastAsia="zh-CN"/>
              </w:rPr>
              <w:t>特别提醒：</w:t>
            </w:r>
            <w:r>
              <w:rPr>
                <w:rFonts w:hint="eastAsia"/>
                <w:b/>
                <w:bCs/>
                <w:lang w:val="en-US" w:eastAsia="zh-CN"/>
              </w:rPr>
              <w:t>本项目</w:t>
            </w:r>
            <w:r>
              <w:rPr>
                <w:rFonts w:hint="eastAsia"/>
                <w:b/>
                <w:bCs/>
                <w:lang w:val="en-US" w:eastAsia="zh-CN"/>
              </w:rPr>
              <w:t>2</w:t>
            </w:r>
            <w:r>
              <w:rPr>
                <w:rFonts w:hint="eastAsia"/>
                <w:b/>
                <w:bCs/>
              </w:rPr>
              <w:t>年最高限价</w:t>
            </w:r>
            <w:r>
              <w:rPr>
                <w:rFonts w:hint="eastAsia"/>
                <w:b/>
                <w:bCs/>
                <w:lang w:val="en-US" w:eastAsia="zh-CN"/>
              </w:rPr>
              <w:t>320</w:t>
            </w:r>
            <w:r>
              <w:rPr>
                <w:rFonts w:hint="eastAsia"/>
                <w:b/>
                <w:bCs/>
              </w:rPr>
              <w:t>万元</w:t>
            </w:r>
            <w:r>
              <w:rPr>
                <w:rFonts w:hint="eastAsia"/>
                <w:b/>
                <w:bCs/>
                <w:lang w:eastAsia="zh-CN"/>
              </w:rPr>
              <w:t>。</w:t>
            </w:r>
            <w:r>
              <w:rPr>
                <w:rFonts w:hint="eastAsia"/>
                <w:b/>
                <w:bCs/>
                <w:lang w:val="en-US" w:eastAsia="zh-CN"/>
              </w:rPr>
              <w:t>交易中心</w:t>
            </w:r>
            <w:r>
              <w:rPr>
                <w:rFonts w:hint="eastAsia"/>
                <w:b/>
                <w:bCs/>
                <w:lang w:val="en-US" w:eastAsia="zh-CN"/>
              </w:rPr>
              <w:t>系统内的开标一览表投标总报价按2年的报价进行填写，二次报价按2年的报价进行填写。</w:t>
            </w:r>
            <w:bookmarkStart w:id="636" w:name="_GoBack"/>
            <w:bookmarkEnd w:id="636"/>
          </w:p>
          <w:p w14:paraId="703335E3">
            <w:pPr>
              <w:pStyle w:val="2"/>
              <w:spacing w:before="0" w:after="0" w:line="360" w:lineRule="auto"/>
              <w:rPr>
                <w:rFonts w:ascii="宋体" w:hAnsi="宋体" w:eastAsia="宋体" w:cs="宋体"/>
                <w:b w:val="0"/>
                <w:bCs w:val="0"/>
                <w:sz w:val="24"/>
                <w:szCs w:val="24"/>
                <w:highlight w:val="none"/>
              </w:rPr>
            </w:pPr>
            <w:bookmarkStart w:id="83" w:name="_Toc26954"/>
            <w:bookmarkStart w:id="84" w:name="_Toc27583"/>
            <w:r>
              <w:rPr>
                <w:rFonts w:hint="eastAsia" w:ascii="宋体" w:hAnsi="宋体" w:eastAsia="宋体" w:cs="宋体"/>
                <w:b w:val="0"/>
                <w:bCs w:val="0"/>
                <w:sz w:val="24"/>
                <w:szCs w:val="24"/>
                <w:highlight w:val="none"/>
              </w:rPr>
              <w:t>B、根据“河南省公共资源交易中心关于推行全程不见面服务的通知”，本项目采用“远程不见面”开标方式，开标大厅的网址（http://hnsggzyjy.henan.gov.cn/），供应商应当在磋商文件确定的磋商截止时间前,登录远程开标大厅,在线准时参加开标活动并进行文件解密、答疑澄清等，供应商无需到开标现场（供应商如在交易平台系统规定时间内没有解密成功的，视为放弃竞标）。</w:t>
            </w:r>
            <w:bookmarkEnd w:id="83"/>
            <w:bookmarkEnd w:id="84"/>
          </w:p>
          <w:p w14:paraId="3F0EE91B">
            <w:pPr>
              <w:pStyle w:val="2"/>
              <w:spacing w:before="0" w:after="0" w:line="360" w:lineRule="auto"/>
              <w:rPr>
                <w:rFonts w:ascii="宋体" w:hAnsi="宋体" w:eastAsia="宋体" w:cs="宋体"/>
                <w:b w:val="0"/>
                <w:bCs w:val="0"/>
                <w:sz w:val="24"/>
                <w:szCs w:val="24"/>
                <w:highlight w:val="none"/>
              </w:rPr>
            </w:pPr>
            <w:bookmarkStart w:id="85" w:name="_Toc32580"/>
            <w:bookmarkStart w:id="86" w:name="_Toc28785"/>
            <w:r>
              <w:rPr>
                <w:rFonts w:hint="eastAsia" w:ascii="宋体" w:hAnsi="宋体" w:eastAsia="宋体" w:cs="宋体"/>
                <w:b w:val="0"/>
                <w:bCs w:val="0"/>
                <w:sz w:val="24"/>
                <w:szCs w:val="24"/>
                <w:highlight w:val="none"/>
              </w:rPr>
              <w:t>C、本文件未尽事宜，参照现行有关的法律、法规、规章、办法等执行。</w:t>
            </w:r>
            <w:bookmarkEnd w:id="85"/>
            <w:bookmarkEnd w:id="86"/>
          </w:p>
          <w:p w14:paraId="0E2640CA">
            <w:pPr>
              <w:pStyle w:val="2"/>
              <w:spacing w:before="0" w:after="0" w:line="360" w:lineRule="auto"/>
              <w:rPr>
                <w:rFonts w:ascii="宋体" w:hAnsi="宋体" w:eastAsia="宋体" w:cs="宋体"/>
                <w:b w:val="0"/>
                <w:bCs w:val="0"/>
                <w:sz w:val="24"/>
                <w:szCs w:val="24"/>
                <w:highlight w:val="none"/>
              </w:rPr>
            </w:pPr>
            <w:bookmarkStart w:id="87" w:name="_Toc17558"/>
            <w:bookmarkStart w:id="88" w:name="_Toc28899"/>
            <w:r>
              <w:rPr>
                <w:rFonts w:hint="eastAsia" w:ascii="宋体" w:hAnsi="宋体" w:eastAsia="宋体" w:cs="宋体"/>
                <w:b w:val="0"/>
                <w:bCs w:val="0"/>
                <w:sz w:val="24"/>
                <w:szCs w:val="24"/>
                <w:highlight w:val="none"/>
              </w:rPr>
              <w:t>D、本项目进行二次报价时只报总价，单价作出相应调整。</w:t>
            </w:r>
            <w:bookmarkEnd w:id="87"/>
            <w:bookmarkEnd w:id="88"/>
          </w:p>
          <w:p w14:paraId="70C84056">
            <w:pPr>
              <w:pStyle w:val="2"/>
              <w:spacing w:before="0" w:after="0" w:line="360" w:lineRule="auto"/>
              <w:rPr>
                <w:rFonts w:ascii="宋体" w:hAnsi="宋体" w:eastAsia="宋体" w:cs="宋体"/>
                <w:b w:val="0"/>
                <w:bCs w:val="0"/>
                <w:sz w:val="24"/>
                <w:szCs w:val="24"/>
                <w:highlight w:val="none"/>
              </w:rPr>
            </w:pPr>
            <w:bookmarkStart w:id="89" w:name="_Toc13233"/>
            <w:bookmarkStart w:id="90" w:name="_Toc30602"/>
            <w:r>
              <w:rPr>
                <w:rFonts w:hint="eastAsia" w:ascii="宋体" w:hAnsi="宋体" w:eastAsia="宋体" w:cs="宋体"/>
                <w:b w:val="0"/>
                <w:bCs w:val="0"/>
                <w:sz w:val="24"/>
                <w:szCs w:val="24"/>
                <w:highlight w:val="none"/>
              </w:rPr>
              <w:t>E、若供应商的“投标文件制作机器码”一致，则否决其投标，由此产生的一切后果由供应商自行承担。</w:t>
            </w:r>
            <w:bookmarkEnd w:id="89"/>
            <w:bookmarkEnd w:id="90"/>
          </w:p>
          <w:p w14:paraId="6DAC7445">
            <w:pPr>
              <w:pStyle w:val="2"/>
              <w:spacing w:before="0" w:after="0" w:line="360" w:lineRule="auto"/>
              <w:rPr>
                <w:rFonts w:ascii="宋体" w:hAnsi="宋体" w:eastAsia="宋体" w:cs="宋体"/>
                <w:b w:val="0"/>
                <w:bCs w:val="0"/>
                <w:sz w:val="24"/>
                <w:szCs w:val="24"/>
                <w:highlight w:val="none"/>
              </w:rPr>
            </w:pPr>
            <w:bookmarkStart w:id="91" w:name="_Toc11920"/>
            <w:bookmarkStart w:id="92" w:name="_Toc11551"/>
            <w:r>
              <w:rPr>
                <w:rFonts w:hint="eastAsia" w:ascii="宋体" w:hAnsi="宋体" w:eastAsia="宋体" w:cs="宋体"/>
                <w:b w:val="0"/>
                <w:bCs w:val="0"/>
                <w:sz w:val="24"/>
                <w:szCs w:val="24"/>
                <w:highlight w:val="none"/>
              </w:rPr>
              <w:t>根据省财政厅《深入推进政府采购合同融资工作实施方案》豫财办（2020）33 号要</w:t>
            </w:r>
            <w:bookmarkEnd w:id="91"/>
            <w:bookmarkEnd w:id="92"/>
            <w:bookmarkStart w:id="93" w:name="_Toc8392"/>
            <w:bookmarkStart w:id="94" w:name="_Toc16316"/>
            <w:r>
              <w:rPr>
                <w:rFonts w:hint="eastAsia" w:ascii="宋体" w:hAnsi="宋体" w:eastAsia="宋体" w:cs="宋体"/>
                <w:b w:val="0"/>
                <w:bCs w:val="0"/>
                <w:sz w:val="24"/>
                <w:szCs w:val="24"/>
                <w:highlight w:val="none"/>
              </w:rPr>
              <w:t>求：参与政府采购活动的供应商，在中标成交后可以持政府采购合同向融资机构申请贷款。</w:t>
            </w:r>
            <w:bookmarkEnd w:id="93"/>
            <w:bookmarkEnd w:id="94"/>
          </w:p>
        </w:tc>
      </w:tr>
    </w:tbl>
    <w:p w14:paraId="2509DBC3">
      <w:pPr>
        <w:pStyle w:val="2"/>
        <w:spacing w:before="0" w:after="0" w:line="360" w:lineRule="auto"/>
        <w:rPr>
          <w:rFonts w:ascii="宋体" w:hAnsi="宋体" w:eastAsia="宋体" w:cs="宋体"/>
          <w:sz w:val="28"/>
          <w:highlight w:val="none"/>
        </w:rPr>
      </w:pPr>
      <w:r>
        <w:rPr>
          <w:rFonts w:hint="eastAsia" w:ascii="宋体" w:hAnsi="宋体" w:eastAsia="宋体" w:cs="宋体"/>
          <w:sz w:val="28"/>
          <w:highlight w:val="none"/>
        </w:rPr>
        <w:br w:type="page"/>
      </w:r>
      <w:bookmarkStart w:id="95" w:name="_Toc18791"/>
      <w:bookmarkStart w:id="96" w:name="_Toc25588"/>
      <w:r>
        <w:rPr>
          <w:rFonts w:hint="eastAsia" w:ascii="宋体" w:hAnsi="宋体" w:eastAsia="宋体" w:cs="宋体"/>
          <w:sz w:val="28"/>
          <w:highlight w:val="none"/>
        </w:rPr>
        <w:t>1、总 则</w:t>
      </w:r>
      <w:bookmarkEnd w:id="52"/>
      <w:bookmarkEnd w:id="53"/>
      <w:bookmarkEnd w:id="54"/>
      <w:bookmarkEnd w:id="55"/>
      <w:bookmarkEnd w:id="56"/>
      <w:bookmarkEnd w:id="95"/>
      <w:bookmarkEnd w:id="96"/>
    </w:p>
    <w:p w14:paraId="163069EA">
      <w:pPr>
        <w:pStyle w:val="4"/>
        <w:spacing w:before="0" w:after="0" w:line="360" w:lineRule="auto"/>
        <w:rPr>
          <w:rFonts w:ascii="宋体" w:hAnsi="宋体" w:cs="宋体"/>
          <w:sz w:val="24"/>
          <w:szCs w:val="24"/>
          <w:highlight w:val="none"/>
        </w:rPr>
      </w:pPr>
      <w:bookmarkStart w:id="97" w:name="_Toc6764"/>
      <w:bookmarkStart w:id="98" w:name="_Toc32331"/>
      <w:bookmarkStart w:id="99" w:name="_Toc16582"/>
      <w:bookmarkStart w:id="100" w:name="_Toc515647758"/>
      <w:bookmarkStart w:id="101" w:name="_Toc32623"/>
      <w:bookmarkStart w:id="102" w:name="_Toc32189"/>
      <w:bookmarkStart w:id="103" w:name="_Toc520356144"/>
      <w:bookmarkStart w:id="104" w:name="_Toc15048289"/>
      <w:bookmarkStart w:id="105" w:name="_Toc532473450"/>
      <w:r>
        <w:rPr>
          <w:rFonts w:hint="eastAsia" w:ascii="宋体" w:hAnsi="宋体" w:cs="宋体"/>
          <w:sz w:val="24"/>
          <w:szCs w:val="24"/>
          <w:highlight w:val="none"/>
        </w:rPr>
        <w:t>1.1 项目概况</w:t>
      </w:r>
      <w:bookmarkEnd w:id="97"/>
      <w:bookmarkEnd w:id="98"/>
      <w:bookmarkEnd w:id="99"/>
    </w:p>
    <w:bookmarkEnd w:id="100"/>
    <w:bookmarkEnd w:id="101"/>
    <w:bookmarkEnd w:id="102"/>
    <w:bookmarkEnd w:id="103"/>
    <w:bookmarkEnd w:id="104"/>
    <w:bookmarkEnd w:id="105"/>
    <w:p w14:paraId="4C3F0C8B">
      <w:pPr>
        <w:tabs>
          <w:tab w:val="left" w:pos="0"/>
        </w:tabs>
        <w:spacing w:line="360" w:lineRule="auto"/>
        <w:rPr>
          <w:rFonts w:ascii="宋体" w:hAnsi="宋体" w:cs="宋体"/>
          <w:sz w:val="24"/>
          <w:highlight w:val="none"/>
        </w:rPr>
      </w:pPr>
      <w:r>
        <w:rPr>
          <w:rFonts w:hint="eastAsia" w:ascii="宋体" w:hAnsi="宋体" w:cs="宋体"/>
          <w:sz w:val="24"/>
          <w:highlight w:val="none"/>
        </w:rPr>
        <w:t>1.1.1 采购人：是指依法进行政府采购的国家机关、事业单位、团体组织。</w:t>
      </w:r>
    </w:p>
    <w:p w14:paraId="79F331CE">
      <w:pPr>
        <w:tabs>
          <w:tab w:val="left" w:pos="0"/>
        </w:tabs>
        <w:spacing w:line="360" w:lineRule="auto"/>
        <w:ind w:firstLine="720" w:firstLineChars="300"/>
        <w:rPr>
          <w:rFonts w:ascii="宋体" w:hAnsi="宋体" w:cs="宋体"/>
          <w:sz w:val="24"/>
          <w:highlight w:val="none"/>
        </w:rPr>
      </w:pPr>
      <w:r>
        <w:rPr>
          <w:rFonts w:hint="eastAsia" w:ascii="宋体" w:hAnsi="宋体" w:cs="宋体"/>
          <w:sz w:val="24"/>
          <w:highlight w:val="none"/>
        </w:rPr>
        <w:t>本项目的采购人见：供应商须知前附表。</w:t>
      </w:r>
    </w:p>
    <w:p w14:paraId="6CC81D22">
      <w:pPr>
        <w:tabs>
          <w:tab w:val="left" w:pos="0"/>
        </w:tabs>
        <w:spacing w:line="360" w:lineRule="auto"/>
        <w:rPr>
          <w:rFonts w:ascii="宋体" w:hAnsi="宋体" w:cs="宋体"/>
          <w:sz w:val="24"/>
          <w:highlight w:val="none"/>
        </w:rPr>
      </w:pPr>
      <w:r>
        <w:rPr>
          <w:rFonts w:hint="eastAsia" w:ascii="宋体" w:hAnsi="宋体" w:cs="宋体"/>
          <w:sz w:val="24"/>
          <w:highlight w:val="none"/>
        </w:rPr>
        <w:t>1.1.2 采购代理机构是指：见供应商须知前附表。</w:t>
      </w:r>
    </w:p>
    <w:p w14:paraId="555F1E1D">
      <w:pPr>
        <w:tabs>
          <w:tab w:val="left" w:pos="0"/>
        </w:tabs>
        <w:spacing w:line="360" w:lineRule="auto"/>
        <w:rPr>
          <w:rFonts w:ascii="宋体" w:hAnsi="宋体" w:cs="宋体"/>
          <w:sz w:val="24"/>
          <w:highlight w:val="none"/>
        </w:rPr>
      </w:pPr>
      <w:r>
        <w:rPr>
          <w:rFonts w:hint="eastAsia" w:ascii="宋体" w:hAnsi="宋体" w:cs="宋体"/>
          <w:sz w:val="24"/>
          <w:highlight w:val="none"/>
        </w:rPr>
        <w:t>1.1.3 采购项目名称：见供应商须知前附表。</w:t>
      </w:r>
    </w:p>
    <w:p w14:paraId="6A57C41F">
      <w:pPr>
        <w:tabs>
          <w:tab w:val="left" w:pos="0"/>
        </w:tabs>
        <w:spacing w:line="360" w:lineRule="auto"/>
        <w:rPr>
          <w:rFonts w:ascii="宋体" w:hAnsi="宋体" w:cs="宋体"/>
          <w:sz w:val="24"/>
          <w:highlight w:val="none"/>
        </w:rPr>
      </w:pPr>
      <w:r>
        <w:rPr>
          <w:rFonts w:hint="eastAsia" w:ascii="宋体" w:hAnsi="宋体" w:cs="宋体"/>
          <w:sz w:val="24"/>
          <w:highlight w:val="none"/>
        </w:rPr>
        <w:t>1.1.4 采购项目实施地点：见供应商须知前附表。</w:t>
      </w:r>
    </w:p>
    <w:p w14:paraId="617D112A">
      <w:pPr>
        <w:widowControl/>
        <w:spacing w:line="360" w:lineRule="auto"/>
        <w:ind w:left="720" w:hanging="720" w:hangingChars="300"/>
        <w:jc w:val="left"/>
        <w:rPr>
          <w:rFonts w:ascii="宋体" w:hAnsi="宋体" w:cs="宋体"/>
          <w:sz w:val="24"/>
          <w:highlight w:val="none"/>
        </w:rPr>
      </w:pPr>
      <w:bookmarkStart w:id="106" w:name="_Hlk56432170"/>
      <w:r>
        <w:rPr>
          <w:rFonts w:hint="eastAsia" w:ascii="宋体" w:hAnsi="宋体" w:cs="宋体"/>
          <w:sz w:val="24"/>
          <w:highlight w:val="none"/>
        </w:rPr>
        <w:t>1.1.5 采购方式：</w:t>
      </w:r>
      <w:r>
        <w:rPr>
          <w:rFonts w:hint="eastAsia" w:ascii="宋体" w:hAnsi="宋体" w:cs="宋体"/>
          <w:b/>
          <w:sz w:val="24"/>
          <w:highlight w:val="none"/>
        </w:rPr>
        <w:t>竞争性磋商。</w:t>
      </w:r>
      <w:r>
        <w:rPr>
          <w:rFonts w:hint="eastAsia" w:ascii="宋体" w:hAnsi="宋体" w:cs="宋体"/>
          <w:sz w:val="24"/>
          <w:highlight w:val="none"/>
        </w:rPr>
        <w:t>采购人、采购代理机构通过组建竞争性磋商小组（以下简称磋商小组）与符合条件的供应商就采购货物/服务事宜进行磋商，供应商按照竞争性磋商文件（以下简称采购文件）的要求提交响应文件和报价，采购人从磋商小组评审后提出的候选供应商名单中确定成交供应商。</w:t>
      </w:r>
    </w:p>
    <w:p w14:paraId="3431A1E1">
      <w:pPr>
        <w:widowControl/>
        <w:spacing w:line="360" w:lineRule="auto"/>
        <w:ind w:left="720" w:hanging="720" w:hangingChars="300"/>
        <w:jc w:val="left"/>
        <w:rPr>
          <w:rFonts w:ascii="宋体" w:hAnsi="宋体" w:cs="宋体"/>
          <w:sz w:val="24"/>
          <w:highlight w:val="none"/>
        </w:rPr>
      </w:pPr>
      <w:r>
        <w:rPr>
          <w:rFonts w:hint="eastAsia" w:ascii="宋体" w:hAnsi="宋体" w:cs="宋体"/>
          <w:sz w:val="24"/>
          <w:highlight w:val="none"/>
        </w:rPr>
        <w:t>1.1.6 采购项目属性：见供应商须知前附表。</w:t>
      </w:r>
    </w:p>
    <w:bookmarkEnd w:id="106"/>
    <w:p w14:paraId="15215366">
      <w:pPr>
        <w:pStyle w:val="4"/>
        <w:spacing w:before="0" w:after="0" w:line="360" w:lineRule="auto"/>
        <w:rPr>
          <w:rFonts w:ascii="宋体" w:hAnsi="宋体" w:cs="宋体"/>
          <w:sz w:val="24"/>
          <w:szCs w:val="24"/>
          <w:highlight w:val="none"/>
        </w:rPr>
      </w:pPr>
      <w:bookmarkStart w:id="107" w:name="_Toc30411"/>
      <w:bookmarkStart w:id="108" w:name="_Toc1442"/>
      <w:bookmarkStart w:id="109" w:name="_Toc12139"/>
      <w:bookmarkStart w:id="110" w:name="_Toc515647759"/>
      <w:bookmarkStart w:id="111" w:name="_Toc532473451"/>
      <w:bookmarkStart w:id="112" w:name="_Toc7120"/>
      <w:bookmarkStart w:id="113" w:name="_Toc15048290"/>
      <w:bookmarkStart w:id="114" w:name="_Toc5286"/>
      <w:r>
        <w:rPr>
          <w:rFonts w:hint="eastAsia" w:ascii="宋体" w:hAnsi="宋体" w:cs="宋体"/>
          <w:sz w:val="24"/>
          <w:szCs w:val="24"/>
          <w:highlight w:val="none"/>
        </w:rPr>
        <w:t>1.2 资金来源</w:t>
      </w:r>
      <w:bookmarkEnd w:id="107"/>
      <w:bookmarkEnd w:id="108"/>
      <w:bookmarkEnd w:id="109"/>
      <w:bookmarkEnd w:id="110"/>
      <w:bookmarkEnd w:id="111"/>
      <w:bookmarkEnd w:id="112"/>
      <w:bookmarkEnd w:id="113"/>
      <w:bookmarkEnd w:id="114"/>
    </w:p>
    <w:p w14:paraId="4E349376">
      <w:pPr>
        <w:spacing w:line="360" w:lineRule="auto"/>
        <w:ind w:left="720" w:hanging="720" w:hangingChars="300"/>
        <w:rPr>
          <w:rFonts w:ascii="宋体" w:hAnsi="宋体" w:cs="宋体"/>
          <w:sz w:val="24"/>
          <w:highlight w:val="none"/>
        </w:rPr>
      </w:pPr>
      <w:r>
        <w:rPr>
          <w:rFonts w:hint="eastAsia" w:ascii="宋体" w:hAnsi="宋体" w:cs="宋体"/>
          <w:sz w:val="24"/>
          <w:highlight w:val="none"/>
        </w:rPr>
        <w:t>1.2.1 本项目的采购人已获得足以支付本次采购后所签订合同项下的资金（包括财政性资金和本项目采购中无法与财政性资金分割的非财政性资金）。</w:t>
      </w:r>
    </w:p>
    <w:p w14:paraId="19BEC023">
      <w:pPr>
        <w:spacing w:line="360" w:lineRule="auto"/>
        <w:rPr>
          <w:rFonts w:ascii="宋体" w:hAnsi="宋体" w:cs="宋体"/>
          <w:sz w:val="24"/>
          <w:highlight w:val="none"/>
        </w:rPr>
      </w:pPr>
      <w:r>
        <w:rPr>
          <w:rFonts w:hint="eastAsia" w:ascii="宋体" w:hAnsi="宋体" w:cs="宋体"/>
          <w:sz w:val="24"/>
          <w:highlight w:val="none"/>
        </w:rPr>
        <w:t>1.2.2 项目预算金额和最高限价（如有）见：供应商须知前附表。</w:t>
      </w:r>
    </w:p>
    <w:p w14:paraId="5AE2D264">
      <w:pPr>
        <w:spacing w:line="360" w:lineRule="auto"/>
        <w:ind w:left="480" w:hanging="480" w:hangingChars="200"/>
        <w:rPr>
          <w:rFonts w:ascii="宋体" w:hAnsi="宋体" w:cs="宋体"/>
          <w:sz w:val="24"/>
          <w:highlight w:val="none"/>
        </w:rPr>
      </w:pPr>
      <w:r>
        <w:rPr>
          <w:rFonts w:hint="eastAsia" w:ascii="宋体" w:hAnsi="宋体" w:cs="宋体"/>
          <w:sz w:val="24"/>
          <w:highlight w:val="none"/>
        </w:rPr>
        <w:t>1.2.3 供应商报价超过采购文件规定的预算金额或者最高限价的，其响应文件将被认定为无效响应文件。</w:t>
      </w:r>
    </w:p>
    <w:p w14:paraId="60F0507F">
      <w:pPr>
        <w:spacing w:line="360" w:lineRule="auto"/>
        <w:rPr>
          <w:rFonts w:ascii="宋体" w:hAnsi="宋体" w:cs="宋体"/>
          <w:b/>
          <w:bCs/>
          <w:sz w:val="24"/>
          <w:highlight w:val="none"/>
        </w:rPr>
      </w:pPr>
      <w:bookmarkStart w:id="115" w:name="_Toc25832408"/>
      <w:bookmarkStart w:id="116" w:name="_Toc40972796"/>
      <w:bookmarkStart w:id="117" w:name="_Toc36564721"/>
      <w:bookmarkStart w:id="118" w:name="_Toc34732543"/>
      <w:bookmarkStart w:id="119" w:name="_Toc34733011"/>
      <w:r>
        <w:rPr>
          <w:rFonts w:hint="eastAsia" w:ascii="宋体" w:hAnsi="宋体" w:cs="宋体"/>
          <w:b/>
          <w:bCs/>
          <w:sz w:val="24"/>
          <w:highlight w:val="none"/>
        </w:rPr>
        <w:t>1.3 采购需求及其它相关要求</w:t>
      </w:r>
      <w:bookmarkEnd w:id="115"/>
      <w:bookmarkEnd w:id="116"/>
      <w:bookmarkEnd w:id="117"/>
      <w:bookmarkEnd w:id="118"/>
      <w:bookmarkEnd w:id="119"/>
    </w:p>
    <w:p w14:paraId="546CD010">
      <w:pPr>
        <w:spacing w:line="360" w:lineRule="auto"/>
        <w:rPr>
          <w:rFonts w:ascii="宋体" w:hAnsi="宋体" w:cs="宋体"/>
          <w:sz w:val="24"/>
          <w:highlight w:val="none"/>
        </w:rPr>
      </w:pPr>
      <w:r>
        <w:rPr>
          <w:rFonts w:hint="eastAsia" w:ascii="宋体" w:hAnsi="宋体" w:cs="宋体"/>
          <w:sz w:val="24"/>
          <w:highlight w:val="none"/>
        </w:rPr>
        <w:t>1.3.1 采购需求：见竞争性磋商文件第三章</w:t>
      </w:r>
    </w:p>
    <w:p w14:paraId="0CD3710F">
      <w:pPr>
        <w:spacing w:line="360" w:lineRule="auto"/>
        <w:rPr>
          <w:rFonts w:ascii="宋体" w:hAnsi="宋体" w:cs="宋体"/>
          <w:sz w:val="24"/>
          <w:highlight w:val="none"/>
        </w:rPr>
      </w:pPr>
      <w:r>
        <w:rPr>
          <w:rFonts w:hint="eastAsia" w:ascii="宋体" w:hAnsi="宋体" w:cs="宋体"/>
          <w:sz w:val="24"/>
          <w:highlight w:val="none"/>
        </w:rPr>
        <w:t>1.3.2 服务期限：见供应商须知前附表。</w:t>
      </w:r>
    </w:p>
    <w:p w14:paraId="03F70A59">
      <w:pPr>
        <w:spacing w:line="360" w:lineRule="auto"/>
        <w:rPr>
          <w:rFonts w:ascii="宋体" w:hAnsi="宋体" w:cs="宋体"/>
          <w:sz w:val="24"/>
          <w:highlight w:val="none"/>
        </w:rPr>
      </w:pPr>
      <w:r>
        <w:rPr>
          <w:rFonts w:hint="eastAsia" w:ascii="宋体" w:hAnsi="宋体" w:cs="宋体"/>
          <w:sz w:val="24"/>
          <w:highlight w:val="none"/>
        </w:rPr>
        <w:t>1.3.3服务质量：见供应商须知前附表。</w:t>
      </w:r>
    </w:p>
    <w:p w14:paraId="160A7969">
      <w:pPr>
        <w:pStyle w:val="4"/>
        <w:spacing w:before="0" w:after="0" w:line="360" w:lineRule="auto"/>
        <w:rPr>
          <w:rFonts w:ascii="宋体" w:hAnsi="宋体" w:cs="宋体"/>
          <w:b w:val="0"/>
          <w:sz w:val="24"/>
          <w:highlight w:val="none"/>
        </w:rPr>
      </w:pPr>
      <w:bookmarkStart w:id="120" w:name="_Toc10788"/>
      <w:bookmarkStart w:id="121" w:name="_Toc25832409"/>
      <w:bookmarkStart w:id="122" w:name="_Toc11357"/>
      <w:bookmarkStart w:id="123" w:name="_Toc36564722"/>
      <w:bookmarkStart w:id="124" w:name="_Toc40972797"/>
      <w:bookmarkStart w:id="125" w:name="_Toc3170"/>
      <w:bookmarkStart w:id="126" w:name="_Toc34733012"/>
      <w:bookmarkStart w:id="127" w:name="_Toc34732544"/>
      <w:r>
        <w:rPr>
          <w:rFonts w:hint="eastAsia" w:ascii="宋体" w:hAnsi="宋体" w:cs="宋体"/>
          <w:sz w:val="24"/>
          <w:szCs w:val="24"/>
          <w:highlight w:val="none"/>
        </w:rPr>
        <w:t>1.4 对供应商的要求</w:t>
      </w:r>
      <w:bookmarkEnd w:id="120"/>
      <w:bookmarkEnd w:id="121"/>
      <w:bookmarkEnd w:id="122"/>
      <w:bookmarkEnd w:id="123"/>
      <w:bookmarkEnd w:id="124"/>
      <w:bookmarkEnd w:id="125"/>
      <w:bookmarkEnd w:id="126"/>
      <w:bookmarkEnd w:id="127"/>
    </w:p>
    <w:p w14:paraId="08BCAE1F">
      <w:pPr>
        <w:adjustRightInd w:val="0"/>
        <w:snapToGrid w:val="0"/>
        <w:spacing w:line="360" w:lineRule="auto"/>
        <w:ind w:left="732" w:hanging="732" w:hangingChars="305"/>
        <w:rPr>
          <w:rFonts w:ascii="宋体" w:hAnsi="宋体" w:cs="宋体"/>
          <w:sz w:val="24"/>
          <w:highlight w:val="none"/>
        </w:rPr>
      </w:pPr>
      <w:r>
        <w:rPr>
          <w:rFonts w:hint="eastAsia" w:ascii="宋体" w:hAnsi="宋体" w:cs="宋体"/>
          <w:sz w:val="24"/>
          <w:highlight w:val="none"/>
        </w:rPr>
        <w:t>1.4.1 供应商（申请人）是指以本项目竞争性磋商公告中规定的方式获取了本项目的磋商文件并在规定的时间内递交了响应文件，参加磋商采购活动，有意愿向采购人提供货物/服务的法人、非法人组织或者自然人。申请人与供应商含义相同，以下均称为供应商。</w:t>
      </w:r>
    </w:p>
    <w:p w14:paraId="4EEAC316">
      <w:pPr>
        <w:adjustRightInd w:val="0"/>
        <w:snapToGrid w:val="0"/>
        <w:spacing w:line="360" w:lineRule="auto"/>
        <w:ind w:left="757" w:leftChars="360" w:hanging="1"/>
        <w:rPr>
          <w:rFonts w:ascii="宋体" w:hAnsi="宋体" w:cs="宋体"/>
          <w:sz w:val="24"/>
          <w:highlight w:val="none"/>
        </w:rPr>
      </w:pPr>
      <w:r>
        <w:rPr>
          <w:rFonts w:hint="eastAsia" w:ascii="宋体" w:hAnsi="宋体" w:cs="宋体"/>
          <w:sz w:val="24"/>
          <w:highlight w:val="none"/>
        </w:rPr>
        <w:t>潜在供应商：以本项目竞争性磋商公告中规定的方式获取本项目磋商文件的法人、非法人组织或者自然人。</w:t>
      </w:r>
    </w:p>
    <w:p w14:paraId="351AA350">
      <w:pPr>
        <w:spacing w:line="360" w:lineRule="auto"/>
        <w:ind w:left="720" w:hanging="720" w:hangingChars="300"/>
        <w:rPr>
          <w:rFonts w:ascii="宋体" w:hAnsi="宋体" w:cs="宋体"/>
          <w:sz w:val="24"/>
          <w:highlight w:val="none"/>
        </w:rPr>
      </w:pPr>
      <w:r>
        <w:rPr>
          <w:rFonts w:hint="eastAsia" w:ascii="宋体" w:hAnsi="宋体" w:cs="宋体"/>
          <w:sz w:val="24"/>
          <w:highlight w:val="none"/>
        </w:rPr>
        <w:t>1.4.2 本项目的供应商及其提供的货物/服务须满足以下条件：</w:t>
      </w:r>
    </w:p>
    <w:p w14:paraId="2D066777">
      <w:pPr>
        <w:spacing w:line="360" w:lineRule="auto"/>
        <w:ind w:left="720" w:hanging="720" w:hangingChars="300"/>
        <w:rPr>
          <w:rFonts w:ascii="宋体" w:hAnsi="宋体" w:cs="宋体"/>
          <w:sz w:val="24"/>
          <w:highlight w:val="none"/>
        </w:rPr>
      </w:pPr>
      <w:r>
        <w:rPr>
          <w:rFonts w:hint="eastAsia" w:ascii="宋体" w:hAnsi="宋体" w:cs="宋体"/>
          <w:sz w:val="24"/>
          <w:highlight w:val="none"/>
        </w:rPr>
        <w:t>1.4.2.1 在中华人民共和国境内注册（或中华人民共和国公民），能够独立承担民事责任，有生产或供应能力的本国供应商。</w:t>
      </w:r>
    </w:p>
    <w:p w14:paraId="2C3A330B">
      <w:pPr>
        <w:spacing w:line="360" w:lineRule="auto"/>
        <w:rPr>
          <w:rFonts w:ascii="宋体" w:hAnsi="宋体" w:cs="宋体"/>
          <w:sz w:val="24"/>
          <w:highlight w:val="none"/>
        </w:rPr>
      </w:pPr>
      <w:r>
        <w:rPr>
          <w:rFonts w:hint="eastAsia" w:ascii="宋体" w:hAnsi="宋体" w:cs="宋体"/>
          <w:sz w:val="24"/>
          <w:highlight w:val="none"/>
        </w:rPr>
        <w:t>1.4.2.2 符合《中华人民共和国政府采购法》第二十二条关于供应商条件的规定。</w:t>
      </w:r>
    </w:p>
    <w:p w14:paraId="0219730B">
      <w:pPr>
        <w:spacing w:line="360" w:lineRule="auto"/>
        <w:ind w:firstLine="960" w:firstLineChars="400"/>
        <w:rPr>
          <w:rFonts w:ascii="宋体" w:hAnsi="宋体" w:cs="宋体"/>
          <w:sz w:val="24"/>
          <w:highlight w:val="none"/>
        </w:rPr>
      </w:pPr>
      <w:r>
        <w:rPr>
          <w:rFonts w:hint="eastAsia" w:ascii="宋体" w:hAnsi="宋体" w:cs="宋体"/>
          <w:sz w:val="24"/>
          <w:highlight w:val="none"/>
        </w:rPr>
        <w:t>遵守本项目采购人本级和上级财政部门关于政府采购的有关规定。</w:t>
      </w:r>
    </w:p>
    <w:p w14:paraId="0AE39DBB">
      <w:pPr>
        <w:spacing w:line="360" w:lineRule="auto"/>
        <w:ind w:left="1"/>
        <w:rPr>
          <w:rFonts w:ascii="宋体" w:hAnsi="宋体" w:cs="宋体"/>
          <w:sz w:val="24"/>
          <w:highlight w:val="none"/>
        </w:rPr>
      </w:pPr>
      <w:r>
        <w:rPr>
          <w:rFonts w:hint="eastAsia" w:ascii="宋体" w:hAnsi="宋体" w:cs="宋体"/>
          <w:sz w:val="24"/>
          <w:highlight w:val="none"/>
        </w:rPr>
        <w:t>1.4.2.3 以本项目竞争性磋商公告中规定的方式获取了本项目的竞争性磋商文件。</w:t>
      </w:r>
    </w:p>
    <w:p w14:paraId="416FB449">
      <w:pPr>
        <w:spacing w:line="360" w:lineRule="auto"/>
        <w:rPr>
          <w:rFonts w:ascii="宋体" w:hAnsi="宋体" w:cs="宋体"/>
          <w:sz w:val="24"/>
          <w:highlight w:val="none"/>
        </w:rPr>
      </w:pPr>
      <w:bookmarkStart w:id="128" w:name="_Hlk56432737"/>
      <w:r>
        <w:rPr>
          <w:rFonts w:hint="eastAsia" w:ascii="宋体" w:hAnsi="宋体" w:cs="宋体"/>
          <w:sz w:val="24"/>
          <w:highlight w:val="none"/>
        </w:rPr>
        <w:t>1.4.2.4 符合供应商须知前附表中规定的合格供应商的其它资格要求。</w:t>
      </w:r>
    </w:p>
    <w:p w14:paraId="296DADC7">
      <w:pPr>
        <w:adjustRightInd w:val="0"/>
        <w:snapToGrid w:val="0"/>
        <w:spacing w:line="360" w:lineRule="auto"/>
        <w:ind w:left="960" w:hanging="960" w:hangingChars="400"/>
        <w:rPr>
          <w:rFonts w:ascii="宋体" w:hAnsi="宋体" w:cs="宋体"/>
          <w:sz w:val="24"/>
          <w:highlight w:val="none"/>
        </w:rPr>
      </w:pPr>
      <w:r>
        <w:rPr>
          <w:rFonts w:hint="eastAsia" w:ascii="宋体" w:hAnsi="宋体" w:cs="宋体"/>
          <w:sz w:val="24"/>
          <w:highlight w:val="none"/>
        </w:rPr>
        <w:t>1.4.2.5若供应商须知前附表中写明允许采购进口产品，但不限制满足竞争性磋商文件要求的国内产品参与采购活动。供应商应保证所投产品可履行合法报通关手续进入中国关境内。</w:t>
      </w:r>
    </w:p>
    <w:p w14:paraId="23C6D200">
      <w:pPr>
        <w:spacing w:line="360" w:lineRule="auto"/>
        <w:ind w:left="842" w:leftChars="401"/>
        <w:rPr>
          <w:rFonts w:ascii="宋体" w:hAnsi="宋体" w:cs="宋体"/>
          <w:sz w:val="24"/>
          <w:highlight w:val="none"/>
        </w:rPr>
      </w:pPr>
      <w:r>
        <w:rPr>
          <w:rFonts w:hint="eastAsia" w:ascii="宋体" w:hAnsi="宋体" w:cs="宋体"/>
          <w:sz w:val="24"/>
          <w:highlight w:val="none"/>
        </w:rPr>
        <w:t>若</w:t>
      </w:r>
      <w:r>
        <w:rPr>
          <w:rFonts w:hint="eastAsia" w:ascii="宋体" w:hAnsi="宋体" w:cs="宋体"/>
          <w:b/>
          <w:sz w:val="24"/>
          <w:highlight w:val="none"/>
          <w:u w:val="single"/>
        </w:rPr>
        <w:t>供应商须知前附表</w:t>
      </w:r>
      <w:r>
        <w:rPr>
          <w:rFonts w:hint="eastAsia" w:ascii="宋体" w:hAnsi="宋体" w:cs="宋体"/>
          <w:sz w:val="24"/>
          <w:highlight w:val="none"/>
        </w:rPr>
        <w:t>中未写明允许采购进口产品，如供应商提供产品为进口产品，其响应文件将被认定为</w:t>
      </w:r>
      <w:r>
        <w:rPr>
          <w:rFonts w:hint="eastAsia" w:ascii="宋体" w:hAnsi="宋体" w:cs="宋体"/>
          <w:b/>
          <w:sz w:val="24"/>
          <w:highlight w:val="none"/>
        </w:rPr>
        <w:t>无效响应文件</w:t>
      </w:r>
      <w:r>
        <w:rPr>
          <w:rFonts w:hint="eastAsia" w:ascii="宋体" w:hAnsi="宋体" w:cs="宋体"/>
          <w:sz w:val="24"/>
          <w:highlight w:val="none"/>
        </w:rPr>
        <w:t>。</w:t>
      </w:r>
      <w:bookmarkEnd w:id="128"/>
    </w:p>
    <w:p w14:paraId="553C4B8E">
      <w:pPr>
        <w:spacing w:line="360" w:lineRule="auto"/>
        <w:ind w:left="960" w:hanging="960" w:hangingChars="400"/>
        <w:rPr>
          <w:rFonts w:ascii="宋体" w:hAnsi="宋体" w:cs="宋体"/>
          <w:sz w:val="24"/>
          <w:highlight w:val="none"/>
        </w:rPr>
      </w:pPr>
      <w:bookmarkStart w:id="129" w:name="_Hlk56432822"/>
      <w:r>
        <w:rPr>
          <w:rFonts w:hint="eastAsia" w:ascii="宋体" w:hAnsi="宋体" w:cs="宋体"/>
          <w:sz w:val="24"/>
          <w:highlight w:val="none"/>
        </w:rPr>
        <w:t>1.4.2.6 若</w:t>
      </w:r>
      <w:r>
        <w:rPr>
          <w:rFonts w:hint="eastAsia" w:ascii="宋体" w:hAnsi="宋体" w:cs="宋体"/>
          <w:b/>
          <w:sz w:val="24"/>
          <w:highlight w:val="none"/>
          <w:u w:val="single"/>
        </w:rPr>
        <w:t>供应商须知前附表</w:t>
      </w:r>
      <w:r>
        <w:rPr>
          <w:rFonts w:hint="eastAsia" w:ascii="宋体" w:hAnsi="宋体" w:cs="宋体"/>
          <w:sz w:val="24"/>
          <w:highlight w:val="none"/>
        </w:rPr>
        <w:t>中写明专门面向中小企业采购的，供应商或所提供产品应符合竞争性磋商文件中要求的特定条件，否则其响应文件将被认定为</w:t>
      </w:r>
      <w:r>
        <w:rPr>
          <w:rFonts w:hint="eastAsia" w:ascii="宋体" w:hAnsi="宋体" w:cs="宋体"/>
          <w:b/>
          <w:sz w:val="24"/>
          <w:highlight w:val="none"/>
        </w:rPr>
        <w:t>无效响应文件</w:t>
      </w:r>
      <w:r>
        <w:rPr>
          <w:rFonts w:hint="eastAsia" w:ascii="宋体" w:hAnsi="宋体" w:cs="宋体"/>
          <w:sz w:val="24"/>
          <w:highlight w:val="none"/>
        </w:rPr>
        <w:t>。</w:t>
      </w:r>
    </w:p>
    <w:p w14:paraId="5AFB24EE">
      <w:pPr>
        <w:spacing w:line="360" w:lineRule="auto"/>
        <w:ind w:left="960" w:hanging="960" w:hangingChars="400"/>
        <w:rPr>
          <w:rFonts w:ascii="宋体" w:hAnsi="宋体" w:cs="宋体"/>
          <w:sz w:val="24"/>
          <w:highlight w:val="none"/>
        </w:rPr>
      </w:pPr>
      <w:r>
        <w:rPr>
          <w:rFonts w:hint="eastAsia" w:ascii="宋体" w:hAnsi="宋体" w:cs="宋体"/>
          <w:sz w:val="24"/>
          <w:highlight w:val="none"/>
        </w:rPr>
        <w:t>1.4.2.7若</w:t>
      </w:r>
      <w:r>
        <w:rPr>
          <w:rFonts w:hint="eastAsia" w:ascii="宋体" w:hAnsi="宋体" w:cs="宋体"/>
          <w:b/>
          <w:sz w:val="24"/>
          <w:highlight w:val="none"/>
          <w:u w:val="single"/>
        </w:rPr>
        <w:t>供应商须知前附表</w:t>
      </w:r>
      <w:r>
        <w:rPr>
          <w:rFonts w:hint="eastAsia" w:ascii="宋体" w:hAnsi="宋体" w:cs="宋体"/>
          <w:sz w:val="24"/>
          <w:highlight w:val="none"/>
        </w:rPr>
        <w:t>中写明采购的产品为财政部、国家发展和改革委员会、生态环境部等部门发布的品目清单中属于实施政府强制采购品目清单范围的节能产品、信息安全产品等产品，供应商应按竞争性磋商文件中的具体要求提供相关证明材料。</w:t>
      </w:r>
      <w:bookmarkEnd w:id="129"/>
    </w:p>
    <w:p w14:paraId="5A4DB17C">
      <w:pPr>
        <w:tabs>
          <w:tab w:val="left" w:pos="142"/>
        </w:tabs>
        <w:spacing w:line="360" w:lineRule="auto"/>
        <w:rPr>
          <w:rFonts w:ascii="宋体" w:hAnsi="宋体" w:cs="宋体"/>
          <w:highlight w:val="none"/>
        </w:rPr>
      </w:pPr>
      <w:r>
        <w:rPr>
          <w:rFonts w:hint="eastAsia" w:ascii="宋体" w:hAnsi="宋体" w:cs="宋体"/>
          <w:sz w:val="24"/>
          <w:highlight w:val="none"/>
        </w:rPr>
        <w:t>1.4.2.8 是否允许成交供应商分包：</w:t>
      </w:r>
      <w:r>
        <w:rPr>
          <w:rFonts w:hint="eastAsia" w:ascii="宋体" w:hAnsi="宋体" w:cs="宋体"/>
          <w:b/>
          <w:sz w:val="24"/>
          <w:highlight w:val="none"/>
          <w:u w:val="single"/>
        </w:rPr>
        <w:t>见供应商须知前附表</w:t>
      </w:r>
      <w:r>
        <w:rPr>
          <w:rFonts w:hint="eastAsia" w:ascii="宋体" w:hAnsi="宋体" w:cs="宋体"/>
          <w:sz w:val="24"/>
          <w:highlight w:val="none"/>
        </w:rPr>
        <w:t>。</w:t>
      </w:r>
    </w:p>
    <w:p w14:paraId="110E3F8C">
      <w:pPr>
        <w:spacing w:line="360" w:lineRule="auto"/>
        <w:ind w:left="720" w:hanging="720" w:hangingChars="300"/>
        <w:rPr>
          <w:rFonts w:ascii="宋体" w:hAnsi="宋体" w:cs="宋体"/>
          <w:sz w:val="24"/>
          <w:highlight w:val="none"/>
        </w:rPr>
      </w:pPr>
      <w:bookmarkStart w:id="130" w:name="_Hlk56432968"/>
      <w:r>
        <w:rPr>
          <w:rFonts w:hint="eastAsia" w:ascii="宋体" w:hAnsi="宋体" w:cs="宋体"/>
          <w:sz w:val="24"/>
          <w:highlight w:val="none"/>
        </w:rPr>
        <w:t>1.4.3 如</w:t>
      </w:r>
      <w:r>
        <w:rPr>
          <w:rFonts w:hint="eastAsia" w:ascii="宋体" w:hAnsi="宋体" w:cs="宋体"/>
          <w:b/>
          <w:sz w:val="24"/>
          <w:highlight w:val="none"/>
          <w:u w:val="single"/>
        </w:rPr>
        <w:t>供应商须知前附表</w:t>
      </w:r>
      <w:r>
        <w:rPr>
          <w:rFonts w:hint="eastAsia" w:ascii="宋体" w:hAnsi="宋体" w:cs="宋体"/>
          <w:sz w:val="24"/>
          <w:highlight w:val="none"/>
        </w:rPr>
        <w:t>中允许联合体形式参加竞争性磋商采购活动，对联合体规定如下：</w:t>
      </w:r>
    </w:p>
    <w:p w14:paraId="7DA3B68F">
      <w:pPr>
        <w:spacing w:line="360" w:lineRule="auto"/>
        <w:ind w:left="720" w:hanging="720" w:hangingChars="300"/>
        <w:rPr>
          <w:rFonts w:ascii="宋体" w:hAnsi="宋体" w:cs="宋体"/>
          <w:sz w:val="24"/>
          <w:highlight w:val="none"/>
        </w:rPr>
      </w:pPr>
      <w:r>
        <w:rPr>
          <w:rFonts w:hint="eastAsia" w:ascii="宋体" w:hAnsi="宋体" w:cs="宋体"/>
          <w:sz w:val="24"/>
          <w:highlight w:val="none"/>
        </w:rPr>
        <w:t>1.4.3.1 两个以上的自然人、法人或者其他组织可以组成一个联合体，以一个供应商的身份共同参加本项目的竞争性磋商采购活动。</w:t>
      </w:r>
    </w:p>
    <w:p w14:paraId="59460CAA">
      <w:pPr>
        <w:spacing w:line="360" w:lineRule="auto"/>
        <w:rPr>
          <w:rFonts w:ascii="宋体" w:hAnsi="宋体" w:cs="宋体"/>
          <w:sz w:val="24"/>
          <w:highlight w:val="none"/>
        </w:rPr>
      </w:pPr>
      <w:r>
        <w:rPr>
          <w:rFonts w:hint="eastAsia" w:ascii="宋体" w:hAnsi="宋体" w:cs="宋体"/>
          <w:sz w:val="24"/>
          <w:highlight w:val="none"/>
        </w:rPr>
        <w:t>1.4.3.2联合体各方均应符合《中华人民共和国政府采购法》第二十二条规定的条件。</w:t>
      </w:r>
    </w:p>
    <w:p w14:paraId="4227D06C">
      <w:pPr>
        <w:spacing w:line="360" w:lineRule="auto"/>
        <w:ind w:left="962" w:leftChars="1" w:hanging="960" w:hangingChars="400"/>
        <w:rPr>
          <w:rFonts w:ascii="宋体" w:hAnsi="宋体" w:cs="宋体"/>
          <w:sz w:val="24"/>
          <w:highlight w:val="none"/>
        </w:rPr>
      </w:pPr>
      <w:r>
        <w:rPr>
          <w:rFonts w:hint="eastAsia" w:ascii="宋体" w:hAnsi="宋体" w:cs="宋体"/>
          <w:sz w:val="24"/>
          <w:highlight w:val="none"/>
        </w:rPr>
        <w:t>1.4.3.3 联合体各方应当签订“联合体共同参加采购活动协议”，明确约定联合体各方承担的工作和相应的责任，并将“联合体共同参加采购活动协议”作为响应文件的组成部分随响应文件一同递交。</w:t>
      </w:r>
    </w:p>
    <w:p w14:paraId="2A27CCCB">
      <w:pPr>
        <w:spacing w:line="360" w:lineRule="auto"/>
        <w:ind w:left="960" w:hanging="960" w:hangingChars="400"/>
        <w:rPr>
          <w:rFonts w:ascii="宋体" w:hAnsi="宋体" w:cs="宋体"/>
          <w:sz w:val="24"/>
          <w:highlight w:val="none"/>
        </w:rPr>
      </w:pPr>
      <w:r>
        <w:rPr>
          <w:rFonts w:hint="eastAsia" w:ascii="宋体" w:hAnsi="宋体" w:cs="宋体"/>
          <w:sz w:val="24"/>
          <w:highlight w:val="none"/>
        </w:rPr>
        <w:t>1.4.3.4 大中型企业、其他自然人、法人或者非法人组织与小型、微型企业组成联合体共同参加竞争性磋商采购活动，“联合体共同参加采购活动协议”中应写明小型、微型企业所提供产品的合同金额占到联合体各方全部提供产品合同总金额的比例。</w:t>
      </w:r>
    </w:p>
    <w:p w14:paraId="0DF948F1">
      <w:pPr>
        <w:adjustRightInd w:val="0"/>
        <w:snapToGrid w:val="0"/>
        <w:spacing w:line="360" w:lineRule="auto"/>
        <w:ind w:left="960" w:hanging="960" w:hangingChars="400"/>
        <w:rPr>
          <w:rFonts w:ascii="宋体" w:hAnsi="宋体" w:cs="宋体"/>
          <w:sz w:val="24"/>
          <w:highlight w:val="none"/>
        </w:rPr>
      </w:pPr>
      <w:r>
        <w:rPr>
          <w:rFonts w:hint="eastAsia" w:ascii="宋体" w:hAnsi="宋体" w:cs="宋体"/>
          <w:sz w:val="24"/>
          <w:highlight w:val="none"/>
        </w:rPr>
        <w:t>1.4.3.5联合体中有同类资质的供应商按照联合体分工承担相同工作的，按照较低的资质等级确定联合体的资质等级。</w:t>
      </w:r>
    </w:p>
    <w:p w14:paraId="2D70AB0A">
      <w:pPr>
        <w:spacing w:line="360" w:lineRule="auto"/>
        <w:ind w:left="960" w:hanging="960" w:hangingChars="400"/>
        <w:rPr>
          <w:rFonts w:ascii="宋体" w:hAnsi="宋体" w:cs="宋体"/>
          <w:sz w:val="24"/>
          <w:highlight w:val="none"/>
        </w:rPr>
      </w:pPr>
      <w:r>
        <w:rPr>
          <w:rFonts w:hint="eastAsia" w:ascii="宋体" w:hAnsi="宋体" w:cs="宋体"/>
          <w:sz w:val="24"/>
          <w:highlight w:val="none"/>
        </w:rPr>
        <w:t>1.4.3.6 以联合体形式参加竞争性磋商采购活动的，联合体各方不得再单独参加或者与其他供应商另外组成联合体参加本项目同一合同项下的采购活动，否则相关响应文件将被认定为</w:t>
      </w:r>
      <w:r>
        <w:rPr>
          <w:rFonts w:hint="eastAsia" w:ascii="宋体" w:hAnsi="宋体" w:cs="宋体"/>
          <w:b/>
          <w:sz w:val="24"/>
          <w:highlight w:val="none"/>
        </w:rPr>
        <w:t>无效响应文件</w:t>
      </w:r>
      <w:r>
        <w:rPr>
          <w:rFonts w:hint="eastAsia" w:ascii="宋体" w:hAnsi="宋体" w:cs="宋体"/>
          <w:sz w:val="24"/>
          <w:highlight w:val="none"/>
        </w:rPr>
        <w:t>。</w:t>
      </w:r>
    </w:p>
    <w:p w14:paraId="3575ED23">
      <w:pPr>
        <w:spacing w:line="360" w:lineRule="auto"/>
        <w:ind w:left="960" w:hanging="960" w:hangingChars="400"/>
        <w:rPr>
          <w:rFonts w:ascii="宋体" w:hAnsi="宋体" w:cs="宋体"/>
          <w:sz w:val="24"/>
          <w:highlight w:val="none"/>
        </w:rPr>
      </w:pPr>
      <w:r>
        <w:rPr>
          <w:rFonts w:hint="eastAsia" w:ascii="宋体" w:hAnsi="宋体" w:cs="宋体"/>
          <w:sz w:val="24"/>
          <w:highlight w:val="none"/>
        </w:rPr>
        <w:t>1.4.3.7 以联合体形式成交的，联合体各方应共同与采购人签订采购合同，就采购合同约定的事项对采购人承担连带责任。</w:t>
      </w:r>
    </w:p>
    <w:p w14:paraId="5A986DDF">
      <w:pPr>
        <w:spacing w:line="360" w:lineRule="auto"/>
        <w:rPr>
          <w:rFonts w:ascii="宋体" w:hAnsi="宋体" w:cs="宋体"/>
          <w:sz w:val="24"/>
          <w:highlight w:val="none"/>
        </w:rPr>
      </w:pPr>
      <w:r>
        <w:rPr>
          <w:rFonts w:hint="eastAsia" w:ascii="宋体" w:hAnsi="宋体" w:cs="宋体"/>
          <w:sz w:val="24"/>
          <w:highlight w:val="none"/>
        </w:rPr>
        <w:t>1.4.3.8 对联合体的其他资格要求见</w:t>
      </w:r>
      <w:r>
        <w:rPr>
          <w:rFonts w:hint="eastAsia" w:ascii="宋体" w:hAnsi="宋体" w:cs="宋体"/>
          <w:b/>
          <w:sz w:val="24"/>
          <w:highlight w:val="none"/>
          <w:u w:val="single"/>
        </w:rPr>
        <w:t>供应商须知前附表</w:t>
      </w:r>
      <w:r>
        <w:rPr>
          <w:rFonts w:hint="eastAsia" w:ascii="宋体" w:hAnsi="宋体" w:cs="宋体"/>
          <w:sz w:val="24"/>
          <w:highlight w:val="none"/>
        </w:rPr>
        <w:t>。</w:t>
      </w:r>
      <w:bookmarkEnd w:id="130"/>
    </w:p>
    <w:p w14:paraId="792C9403">
      <w:pPr>
        <w:spacing w:line="360" w:lineRule="auto"/>
        <w:ind w:left="720" w:hanging="720" w:hangingChars="300"/>
        <w:rPr>
          <w:rFonts w:ascii="宋体" w:hAnsi="宋体" w:cs="宋体"/>
          <w:sz w:val="24"/>
          <w:highlight w:val="none"/>
        </w:rPr>
      </w:pPr>
      <w:bookmarkStart w:id="131" w:name="_Hlk56433056"/>
      <w:r>
        <w:rPr>
          <w:rFonts w:hint="eastAsia" w:ascii="宋体" w:hAnsi="宋体" w:cs="宋体"/>
          <w:sz w:val="24"/>
          <w:highlight w:val="none"/>
        </w:rPr>
        <w:t>1.4.4 单位负责人为同一人或者存在直接控股、管理关系的不同供应商参与本项目同一合同项下采购活动的，其相关响应文件将被认定为</w:t>
      </w:r>
      <w:r>
        <w:rPr>
          <w:rFonts w:hint="eastAsia" w:ascii="宋体" w:hAnsi="宋体" w:cs="宋体"/>
          <w:b/>
          <w:sz w:val="24"/>
          <w:highlight w:val="none"/>
        </w:rPr>
        <w:t>无效响应文件</w:t>
      </w:r>
      <w:r>
        <w:rPr>
          <w:rFonts w:hint="eastAsia" w:ascii="宋体" w:hAnsi="宋体" w:cs="宋体"/>
          <w:sz w:val="24"/>
          <w:highlight w:val="none"/>
        </w:rPr>
        <w:t>。</w:t>
      </w:r>
    </w:p>
    <w:p w14:paraId="157AD510">
      <w:pPr>
        <w:spacing w:line="360" w:lineRule="auto"/>
        <w:ind w:left="722" w:leftChars="1" w:hanging="720" w:hangingChars="300"/>
        <w:rPr>
          <w:rFonts w:ascii="宋体" w:hAnsi="宋体" w:cs="宋体"/>
          <w:sz w:val="24"/>
          <w:highlight w:val="none"/>
        </w:rPr>
      </w:pPr>
      <w:r>
        <w:rPr>
          <w:rFonts w:hint="eastAsia" w:ascii="宋体" w:hAnsi="宋体" w:cs="宋体"/>
          <w:sz w:val="24"/>
          <w:highlight w:val="none"/>
        </w:rPr>
        <w:t>1.4.5 为本项目提供过整体设计、规范编制或者项目管理、监理、检测等服务的供应商，不得再参加本项目上述服务以外的其他采购活动。否则其相关响应文件将被认定为</w:t>
      </w:r>
      <w:r>
        <w:rPr>
          <w:rFonts w:hint="eastAsia" w:ascii="宋体" w:hAnsi="宋体" w:cs="宋体"/>
          <w:b/>
          <w:sz w:val="24"/>
          <w:highlight w:val="none"/>
        </w:rPr>
        <w:t>无效响应文件</w:t>
      </w:r>
      <w:r>
        <w:rPr>
          <w:rFonts w:hint="eastAsia" w:ascii="宋体" w:hAnsi="宋体" w:cs="宋体"/>
          <w:sz w:val="24"/>
          <w:highlight w:val="none"/>
        </w:rPr>
        <w:t>。</w:t>
      </w:r>
    </w:p>
    <w:p w14:paraId="0DA7828C">
      <w:pPr>
        <w:spacing w:line="360" w:lineRule="auto"/>
        <w:ind w:left="722" w:leftChars="1" w:hanging="720" w:hangingChars="300"/>
        <w:rPr>
          <w:rFonts w:ascii="宋体" w:hAnsi="宋体" w:cs="宋体"/>
          <w:b/>
          <w:sz w:val="24"/>
          <w:highlight w:val="none"/>
        </w:rPr>
      </w:pPr>
      <w:r>
        <w:rPr>
          <w:rFonts w:hint="eastAsia" w:ascii="宋体" w:hAnsi="宋体" w:cs="宋体"/>
          <w:sz w:val="24"/>
          <w:highlight w:val="none"/>
        </w:rPr>
        <w:t>1.4.6 供应商在被确定为成交人之前，不得向采购人提供、给予任何有价值的物品，影响其正常决策行为。一经发现，其成交资格将被取消。</w:t>
      </w:r>
      <w:bookmarkEnd w:id="131"/>
    </w:p>
    <w:p w14:paraId="6BEF6660">
      <w:pPr>
        <w:pStyle w:val="4"/>
        <w:spacing w:before="0" w:after="0" w:line="360" w:lineRule="auto"/>
        <w:rPr>
          <w:rFonts w:ascii="宋体" w:hAnsi="宋体" w:cs="宋体"/>
          <w:b w:val="0"/>
          <w:sz w:val="24"/>
          <w:highlight w:val="none"/>
        </w:rPr>
      </w:pPr>
      <w:bookmarkStart w:id="132" w:name="_Toc13707"/>
      <w:bookmarkStart w:id="133" w:name="_Toc4545"/>
      <w:bookmarkStart w:id="134" w:name="_Toc29450"/>
      <w:r>
        <w:rPr>
          <w:rFonts w:hint="eastAsia" w:ascii="宋体" w:hAnsi="宋体" w:cs="宋体"/>
          <w:sz w:val="24"/>
          <w:szCs w:val="24"/>
          <w:highlight w:val="none"/>
        </w:rPr>
        <w:t>1.5 监督管理部门</w:t>
      </w:r>
      <w:bookmarkEnd w:id="132"/>
      <w:bookmarkEnd w:id="133"/>
      <w:bookmarkEnd w:id="134"/>
    </w:p>
    <w:p w14:paraId="7DBF617B">
      <w:pPr>
        <w:spacing w:line="360" w:lineRule="auto"/>
        <w:ind w:left="420" w:leftChars="200"/>
        <w:rPr>
          <w:rFonts w:ascii="宋体" w:hAnsi="宋体" w:cs="宋体"/>
          <w:sz w:val="24"/>
          <w:highlight w:val="none"/>
        </w:rPr>
      </w:pPr>
      <w:r>
        <w:rPr>
          <w:rFonts w:hint="eastAsia" w:ascii="宋体" w:hAnsi="宋体" w:cs="宋体"/>
          <w:sz w:val="24"/>
          <w:highlight w:val="none"/>
        </w:rPr>
        <w:t>本次采购活动的政府采购监督管理部门为：本次采购项目的采购人所属预算级次的财政部门。</w:t>
      </w:r>
    </w:p>
    <w:p w14:paraId="0B9BA12C">
      <w:pPr>
        <w:pStyle w:val="4"/>
        <w:spacing w:before="0" w:after="0" w:line="360" w:lineRule="auto"/>
        <w:rPr>
          <w:rFonts w:ascii="宋体" w:hAnsi="宋体" w:cs="宋体"/>
          <w:sz w:val="24"/>
          <w:szCs w:val="24"/>
          <w:highlight w:val="none"/>
        </w:rPr>
      </w:pPr>
      <w:bookmarkStart w:id="135" w:name="_Toc15048291"/>
      <w:bookmarkStart w:id="136" w:name="_Toc532473452"/>
      <w:bookmarkStart w:id="137" w:name="_Toc515647760"/>
      <w:bookmarkStart w:id="138" w:name="_Toc3428"/>
      <w:bookmarkStart w:id="139" w:name="_Toc20526"/>
      <w:bookmarkStart w:id="140" w:name="_Toc15936"/>
      <w:bookmarkStart w:id="141" w:name="_Toc16018"/>
      <w:bookmarkStart w:id="142" w:name="_Toc520356145"/>
      <w:bookmarkStart w:id="143" w:name="_Toc7593"/>
      <w:r>
        <w:rPr>
          <w:rFonts w:hint="eastAsia" w:ascii="宋体" w:hAnsi="宋体" w:cs="宋体"/>
          <w:sz w:val="24"/>
          <w:szCs w:val="24"/>
          <w:highlight w:val="none"/>
        </w:rPr>
        <w:t>1.6 供应商参加竞争性磋商采购活动的费用</w:t>
      </w:r>
      <w:bookmarkEnd w:id="135"/>
      <w:bookmarkEnd w:id="136"/>
      <w:bookmarkEnd w:id="137"/>
      <w:bookmarkEnd w:id="138"/>
      <w:bookmarkEnd w:id="139"/>
      <w:bookmarkEnd w:id="140"/>
      <w:bookmarkEnd w:id="141"/>
      <w:bookmarkEnd w:id="142"/>
      <w:bookmarkEnd w:id="143"/>
    </w:p>
    <w:p w14:paraId="1157C95C">
      <w:pPr>
        <w:spacing w:line="360" w:lineRule="auto"/>
        <w:ind w:left="720" w:hanging="720" w:hangingChars="300"/>
        <w:rPr>
          <w:rFonts w:ascii="宋体" w:hAnsi="宋体" w:cs="宋体"/>
          <w:sz w:val="24"/>
          <w:highlight w:val="none"/>
        </w:rPr>
      </w:pPr>
      <w:r>
        <w:rPr>
          <w:rFonts w:hint="eastAsia" w:ascii="宋体" w:hAnsi="宋体" w:cs="宋体"/>
          <w:sz w:val="24"/>
          <w:highlight w:val="none"/>
        </w:rPr>
        <w:t>1.6.1 不论磋商的结果如何，供应商准备和参加本次竞争性磋商采购活动发生的费用均应自行承担。</w:t>
      </w:r>
    </w:p>
    <w:p w14:paraId="099D1232">
      <w:pPr>
        <w:pStyle w:val="4"/>
        <w:spacing w:before="0" w:after="0" w:line="360" w:lineRule="auto"/>
        <w:rPr>
          <w:rFonts w:ascii="宋体" w:hAnsi="宋体" w:cs="宋体"/>
          <w:sz w:val="24"/>
          <w:szCs w:val="24"/>
          <w:highlight w:val="none"/>
        </w:rPr>
      </w:pPr>
      <w:bookmarkStart w:id="144" w:name="_Toc11002"/>
      <w:bookmarkStart w:id="145" w:name="_Toc8119"/>
      <w:bookmarkStart w:id="146" w:name="_Toc7354"/>
      <w:r>
        <w:rPr>
          <w:rFonts w:hint="eastAsia" w:ascii="宋体" w:hAnsi="宋体" w:cs="宋体"/>
          <w:sz w:val="24"/>
          <w:szCs w:val="24"/>
          <w:highlight w:val="none"/>
        </w:rPr>
        <w:t>1.7现场考察、磋商前答疑会</w:t>
      </w:r>
      <w:bookmarkEnd w:id="144"/>
      <w:bookmarkEnd w:id="145"/>
      <w:bookmarkEnd w:id="146"/>
    </w:p>
    <w:p w14:paraId="02927A34">
      <w:pPr>
        <w:adjustRightInd w:val="0"/>
        <w:snapToGrid w:val="0"/>
        <w:spacing w:line="360" w:lineRule="auto"/>
        <w:ind w:left="720" w:hanging="720" w:hangingChars="300"/>
        <w:rPr>
          <w:rFonts w:ascii="宋体" w:hAnsi="宋体" w:cs="宋体"/>
          <w:sz w:val="24"/>
          <w:highlight w:val="none"/>
        </w:rPr>
      </w:pPr>
      <w:r>
        <w:rPr>
          <w:rFonts w:hint="eastAsia" w:ascii="宋体" w:hAnsi="宋体" w:cs="宋体"/>
          <w:sz w:val="24"/>
          <w:highlight w:val="none"/>
        </w:rPr>
        <w:t>1.7.1</w:t>
      </w:r>
      <w:r>
        <w:rPr>
          <w:rFonts w:hint="eastAsia" w:ascii="宋体" w:hAnsi="宋体" w:cs="宋体"/>
          <w:b/>
          <w:sz w:val="24"/>
          <w:highlight w:val="none"/>
          <w:u w:val="single"/>
        </w:rPr>
        <w:t>供应商须知前附表</w:t>
      </w:r>
      <w:r>
        <w:rPr>
          <w:rFonts w:hint="eastAsia" w:ascii="宋体" w:hAnsi="宋体" w:cs="宋体"/>
          <w:sz w:val="24"/>
          <w:highlight w:val="none"/>
        </w:rPr>
        <w:t>规定组织现场考察或磋商前答疑会的，采购人按照</w:t>
      </w:r>
      <w:r>
        <w:rPr>
          <w:highlight w:val="none"/>
        </w:rPr>
        <w:fldChar w:fldCharType="begin"/>
      </w:r>
      <w:r>
        <w:rPr>
          <w:highlight w:val="none"/>
        </w:rPr>
        <w:instrText xml:space="preserve"> HYPERLINK \l "_踏勘现场" </w:instrText>
      </w:r>
      <w:r>
        <w:rPr>
          <w:highlight w:val="none"/>
        </w:rPr>
        <w:fldChar w:fldCharType="separate"/>
      </w:r>
      <w:r>
        <w:rPr>
          <w:rFonts w:hint="eastAsia" w:ascii="宋体" w:hAnsi="宋体" w:cs="宋体"/>
          <w:sz w:val="24"/>
          <w:highlight w:val="none"/>
        </w:rPr>
        <w:t>供应商须知前附表</w:t>
      </w:r>
      <w:r>
        <w:rPr>
          <w:rFonts w:hint="eastAsia" w:ascii="宋体" w:hAnsi="宋体" w:cs="宋体"/>
          <w:sz w:val="24"/>
          <w:highlight w:val="none"/>
        </w:rPr>
        <w:fldChar w:fldCharType="end"/>
      </w:r>
      <w:r>
        <w:rPr>
          <w:rFonts w:hint="eastAsia" w:ascii="宋体" w:hAnsi="宋体" w:cs="宋体"/>
          <w:sz w:val="24"/>
          <w:highlight w:val="none"/>
        </w:rPr>
        <w:t>中规定的时间、地点组织供应商现场考察或召开磋商前答疑会，或者在领取竞争性磋商文件期限截止后以书面形式通知所有获取竞争性磋商文件的潜在供应商。</w:t>
      </w:r>
    </w:p>
    <w:p w14:paraId="38856016">
      <w:pPr>
        <w:adjustRightInd w:val="0"/>
        <w:snapToGrid w:val="0"/>
        <w:spacing w:line="360" w:lineRule="auto"/>
        <w:ind w:left="720" w:hanging="720" w:hangingChars="300"/>
        <w:rPr>
          <w:rFonts w:ascii="宋体" w:hAnsi="宋体" w:cs="宋体"/>
          <w:sz w:val="24"/>
          <w:highlight w:val="none"/>
        </w:rPr>
      </w:pPr>
      <w:bookmarkStart w:id="147" w:name="_1.10_投标预备会"/>
      <w:bookmarkEnd w:id="147"/>
      <w:r>
        <w:rPr>
          <w:rFonts w:hint="eastAsia" w:ascii="宋体" w:hAnsi="宋体" w:cs="宋体"/>
          <w:sz w:val="24"/>
          <w:highlight w:val="none"/>
        </w:rPr>
        <w:t>1.7.2 由于未参加现场考察或磋商前答疑会而导致对项目实际情况不了解，影响技术文件编制、</w:t>
      </w:r>
      <w:r>
        <w:rPr>
          <w:highlight w:val="none"/>
        </w:rPr>
        <w:fldChar w:fldCharType="begin"/>
      </w:r>
      <w:r>
        <w:rPr>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highlight w:val="none"/>
        </w:rPr>
        <w:fldChar w:fldCharType="separate"/>
      </w:r>
      <w:r>
        <w:rPr>
          <w:rFonts w:hint="eastAsia" w:ascii="宋体" w:hAnsi="宋体" w:cs="宋体"/>
          <w:sz w:val="24"/>
          <w:highlight w:val="none"/>
        </w:rPr>
        <w:t>响应报价</w:t>
      </w:r>
      <w:r>
        <w:rPr>
          <w:rFonts w:hint="eastAsia" w:ascii="宋体" w:hAnsi="宋体" w:cs="宋体"/>
          <w:sz w:val="24"/>
          <w:highlight w:val="none"/>
        </w:rPr>
        <w:fldChar w:fldCharType="end"/>
      </w:r>
      <w:r>
        <w:rPr>
          <w:rFonts w:hint="eastAsia" w:ascii="宋体" w:hAnsi="宋体" w:cs="宋体"/>
          <w:sz w:val="24"/>
          <w:highlight w:val="none"/>
        </w:rPr>
        <w:t>准确性、综合因素响应不全面等问题的，由供应商自行承担相应后果。</w:t>
      </w:r>
    </w:p>
    <w:p w14:paraId="0DE02725">
      <w:pPr>
        <w:spacing w:line="360" w:lineRule="auto"/>
        <w:ind w:left="720" w:hanging="720" w:hangingChars="300"/>
        <w:rPr>
          <w:rFonts w:ascii="宋体" w:hAnsi="宋体" w:cs="宋体"/>
          <w:sz w:val="24"/>
          <w:highlight w:val="none"/>
        </w:rPr>
      </w:pPr>
      <w:r>
        <w:rPr>
          <w:rFonts w:hint="eastAsia" w:ascii="宋体" w:hAnsi="宋体" w:cs="宋体"/>
          <w:sz w:val="24"/>
          <w:highlight w:val="none"/>
        </w:rPr>
        <w:t>1.7.3 采购人在现场考察或磋商前答疑会中介绍的项目场地和相关的周边环境情况，仅供应商在编制响应文件时参考，采购人不对供应商据此作出的判断和决策负责。</w:t>
      </w:r>
    </w:p>
    <w:p w14:paraId="390D0DAB">
      <w:pPr>
        <w:spacing w:line="360" w:lineRule="auto"/>
        <w:rPr>
          <w:rFonts w:ascii="宋体" w:hAnsi="宋体" w:cs="宋体"/>
          <w:sz w:val="24"/>
          <w:highlight w:val="none"/>
        </w:rPr>
      </w:pPr>
      <w:r>
        <w:rPr>
          <w:rFonts w:hint="eastAsia" w:ascii="宋体" w:hAnsi="宋体" w:cs="宋体"/>
          <w:sz w:val="24"/>
          <w:highlight w:val="none"/>
        </w:rPr>
        <w:t>1.7.4 现场考察及磋商前答疑会所发生的费用及一切责任由供应商自行承担。</w:t>
      </w:r>
    </w:p>
    <w:p w14:paraId="4FBED0F5">
      <w:pPr>
        <w:pStyle w:val="4"/>
        <w:spacing w:before="0" w:after="0" w:line="360" w:lineRule="auto"/>
        <w:rPr>
          <w:rFonts w:ascii="宋体" w:hAnsi="宋体" w:cs="宋体"/>
          <w:sz w:val="24"/>
          <w:szCs w:val="24"/>
          <w:highlight w:val="none"/>
        </w:rPr>
      </w:pPr>
      <w:bookmarkStart w:id="148" w:name="_Toc8361"/>
      <w:bookmarkStart w:id="149" w:name="_Toc2504"/>
      <w:bookmarkStart w:id="150" w:name="_Toc23271"/>
      <w:r>
        <w:rPr>
          <w:rFonts w:hint="eastAsia" w:ascii="宋体" w:hAnsi="宋体" w:cs="宋体"/>
          <w:sz w:val="24"/>
          <w:szCs w:val="24"/>
          <w:highlight w:val="none"/>
        </w:rPr>
        <w:t>1.8 样品</w:t>
      </w:r>
      <w:bookmarkEnd w:id="148"/>
      <w:bookmarkEnd w:id="149"/>
      <w:bookmarkEnd w:id="150"/>
    </w:p>
    <w:p w14:paraId="169829F9">
      <w:pPr>
        <w:spacing w:line="360" w:lineRule="auto"/>
        <w:ind w:left="720" w:hanging="720" w:hangingChars="300"/>
        <w:rPr>
          <w:rFonts w:ascii="宋体" w:hAnsi="宋体" w:cs="宋体"/>
          <w:sz w:val="24"/>
          <w:highlight w:val="none"/>
        </w:rPr>
      </w:pPr>
      <w:r>
        <w:rPr>
          <w:rFonts w:hint="eastAsia" w:ascii="宋体" w:hAnsi="宋体" w:cs="宋体"/>
          <w:sz w:val="24"/>
          <w:highlight w:val="none"/>
        </w:rPr>
        <w:t>1.8.1原则上采购人、采购代理机构不要求供应商提供样品。除仅凭书面方式不能准确描述采购需求，或者需要对样品进行主观判断以确认是否满足采购需求等特殊情况除外。</w:t>
      </w:r>
    </w:p>
    <w:p w14:paraId="6C1E3F9A">
      <w:pPr>
        <w:spacing w:line="360" w:lineRule="auto"/>
        <w:ind w:left="720" w:hanging="720" w:hangingChars="300"/>
        <w:rPr>
          <w:rFonts w:ascii="宋体" w:hAnsi="宋体" w:cs="宋体"/>
          <w:sz w:val="24"/>
          <w:highlight w:val="none"/>
        </w:rPr>
      </w:pPr>
      <w:r>
        <w:rPr>
          <w:rFonts w:hint="eastAsia" w:ascii="宋体" w:hAnsi="宋体" w:cs="宋体"/>
          <w:sz w:val="24"/>
          <w:highlight w:val="none"/>
        </w:rPr>
        <w:t>1.8.2如需提供样品，对样品相关要求见</w:t>
      </w:r>
      <w:r>
        <w:rPr>
          <w:rFonts w:hint="eastAsia" w:ascii="宋体" w:hAnsi="宋体" w:cs="宋体"/>
          <w:b/>
          <w:sz w:val="24"/>
          <w:highlight w:val="none"/>
          <w:u w:val="single"/>
        </w:rPr>
        <w:t>供应商须知前附表</w:t>
      </w:r>
      <w:r>
        <w:rPr>
          <w:rFonts w:hint="eastAsia" w:ascii="宋体" w:hAnsi="宋体" w:cs="宋体"/>
          <w:sz w:val="24"/>
          <w:highlight w:val="none"/>
        </w:rPr>
        <w:t>，对样品的评审方法及评审标准见竞争性磋商文件第五章。</w:t>
      </w:r>
    </w:p>
    <w:p w14:paraId="467C6D66">
      <w:pPr>
        <w:pStyle w:val="4"/>
        <w:spacing w:before="0" w:after="0" w:line="360" w:lineRule="auto"/>
        <w:rPr>
          <w:rFonts w:ascii="宋体" w:hAnsi="宋体" w:cs="宋体"/>
          <w:sz w:val="24"/>
          <w:szCs w:val="24"/>
          <w:highlight w:val="none"/>
        </w:rPr>
      </w:pPr>
      <w:bookmarkStart w:id="151" w:name="_Toc15048292"/>
      <w:bookmarkStart w:id="152" w:name="_Toc22312"/>
      <w:bookmarkStart w:id="153" w:name="_Toc23686"/>
      <w:bookmarkStart w:id="154" w:name="_Toc532473453"/>
      <w:bookmarkStart w:id="155" w:name="_Toc515647761"/>
      <w:bookmarkStart w:id="156" w:name="_Toc17152"/>
      <w:bookmarkStart w:id="157" w:name="_Toc6116"/>
      <w:bookmarkStart w:id="158" w:name="_Toc4463"/>
      <w:r>
        <w:rPr>
          <w:rFonts w:hint="eastAsia" w:ascii="宋体" w:hAnsi="宋体" w:cs="宋体"/>
          <w:sz w:val="24"/>
          <w:szCs w:val="24"/>
          <w:highlight w:val="none"/>
        </w:rPr>
        <w:t>1.9 适用法律</w:t>
      </w:r>
      <w:bookmarkEnd w:id="151"/>
      <w:bookmarkEnd w:id="152"/>
      <w:bookmarkEnd w:id="153"/>
      <w:bookmarkEnd w:id="154"/>
      <w:bookmarkEnd w:id="155"/>
      <w:bookmarkEnd w:id="156"/>
      <w:bookmarkEnd w:id="157"/>
      <w:bookmarkEnd w:id="158"/>
    </w:p>
    <w:p w14:paraId="0DBD0C6E">
      <w:pPr>
        <w:spacing w:line="360" w:lineRule="auto"/>
        <w:ind w:left="720" w:hanging="720" w:hangingChars="300"/>
        <w:rPr>
          <w:rFonts w:ascii="宋体" w:hAnsi="宋体" w:cs="宋体"/>
          <w:sz w:val="24"/>
          <w:highlight w:val="none"/>
        </w:rPr>
      </w:pPr>
      <w:r>
        <w:rPr>
          <w:rFonts w:hint="eastAsia" w:ascii="宋体" w:hAnsi="宋体" w:cs="宋体"/>
          <w:sz w:val="24"/>
          <w:highlight w:val="none"/>
        </w:rPr>
        <w:t>1.9.1 本项目采购人、采购代理机构、供应商、磋商小组的相关行为均受《中华人民共和国政府采购法》、《中华人民共和国政府采购法实施条例》、</w:t>
      </w:r>
      <w:bookmarkStart w:id="159" w:name="_Toc39851027"/>
      <w:r>
        <w:rPr>
          <w:rFonts w:hint="eastAsia" w:ascii="宋体" w:hAnsi="宋体" w:cs="宋体"/>
          <w:sz w:val="24"/>
          <w:highlight w:val="none"/>
        </w:rPr>
        <w:t>《政府采购竞争性磋商采购方式管理暂行办法》财库〔2014〕214号</w:t>
      </w:r>
      <w:bookmarkEnd w:id="159"/>
      <w:r>
        <w:rPr>
          <w:rFonts w:hint="eastAsia" w:ascii="宋体" w:hAnsi="宋体" w:cs="宋体"/>
          <w:sz w:val="24"/>
          <w:highlight w:val="none"/>
        </w:rPr>
        <w:t>文、《财政部关于政府采购竞争性磋商采购方式管理暂行办法有关问题的补充通知》财库〔2015〕124号文及本项目本级和上级财政部门政府采购有关规定的约束和保护。</w:t>
      </w:r>
    </w:p>
    <w:p w14:paraId="6A1D654D">
      <w:pPr>
        <w:pStyle w:val="4"/>
        <w:spacing w:before="0" w:after="0" w:line="360" w:lineRule="auto"/>
        <w:rPr>
          <w:rFonts w:ascii="宋体" w:hAnsi="宋体" w:cs="宋体"/>
          <w:sz w:val="24"/>
          <w:szCs w:val="24"/>
          <w:highlight w:val="none"/>
        </w:rPr>
      </w:pPr>
      <w:bookmarkStart w:id="160" w:name="_Toc36564724"/>
      <w:bookmarkStart w:id="161" w:name="_Toc23478"/>
      <w:bookmarkStart w:id="162" w:name="_Toc11590"/>
      <w:bookmarkStart w:id="163" w:name="_Toc34732546"/>
      <w:bookmarkStart w:id="164" w:name="_Toc40972799"/>
      <w:bookmarkStart w:id="165" w:name="_Toc17706"/>
      <w:bookmarkStart w:id="166" w:name="_Toc34733014"/>
      <w:bookmarkStart w:id="167" w:name="_Toc25832411"/>
      <w:r>
        <w:rPr>
          <w:rFonts w:hint="eastAsia" w:ascii="宋体" w:hAnsi="宋体" w:cs="宋体"/>
          <w:sz w:val="24"/>
          <w:szCs w:val="24"/>
          <w:highlight w:val="none"/>
        </w:rPr>
        <w:t>1.10 保密</w:t>
      </w:r>
      <w:bookmarkEnd w:id="160"/>
      <w:bookmarkEnd w:id="161"/>
      <w:bookmarkEnd w:id="162"/>
      <w:bookmarkEnd w:id="163"/>
      <w:bookmarkEnd w:id="164"/>
      <w:bookmarkEnd w:id="165"/>
      <w:bookmarkEnd w:id="166"/>
      <w:bookmarkEnd w:id="167"/>
    </w:p>
    <w:p w14:paraId="2B74443C">
      <w:pPr>
        <w:spacing w:line="360" w:lineRule="auto"/>
        <w:ind w:left="630" w:leftChars="300"/>
        <w:rPr>
          <w:rFonts w:ascii="宋体" w:hAnsi="宋体" w:cs="宋体"/>
          <w:sz w:val="24"/>
          <w:highlight w:val="none"/>
        </w:rPr>
      </w:pPr>
      <w:r>
        <w:rPr>
          <w:rFonts w:hint="eastAsia" w:ascii="宋体" w:hAnsi="宋体" w:cs="宋体"/>
          <w:sz w:val="24"/>
          <w:highlight w:val="none"/>
        </w:rPr>
        <w:t>参与采购活动的各方应对竞争性磋商文件和响应文件中的商业和技术等秘密保密，违者应对由此造成的后果承担法律责任。</w:t>
      </w:r>
    </w:p>
    <w:p w14:paraId="2D38B90F">
      <w:pPr>
        <w:pStyle w:val="2"/>
        <w:spacing w:before="0" w:after="0" w:line="360" w:lineRule="auto"/>
        <w:rPr>
          <w:rFonts w:ascii="宋体" w:hAnsi="宋体" w:eastAsia="宋体" w:cs="宋体"/>
          <w:sz w:val="28"/>
          <w:highlight w:val="none"/>
        </w:rPr>
      </w:pPr>
      <w:bookmarkStart w:id="168" w:name="_Toc21566"/>
      <w:bookmarkStart w:id="169" w:name="_Toc520356146"/>
      <w:bookmarkStart w:id="170" w:name="_Toc532473454"/>
      <w:bookmarkStart w:id="171" w:name="_Toc15048293"/>
      <w:bookmarkStart w:id="172" w:name="_Toc28054"/>
      <w:bookmarkStart w:id="173" w:name="_Toc10098"/>
      <w:bookmarkStart w:id="174" w:name="_Toc4365"/>
      <w:bookmarkStart w:id="175" w:name="_Toc216582806"/>
      <w:bookmarkStart w:id="176" w:name="_Toc515647762"/>
      <w:bookmarkStart w:id="177" w:name="_Toc18906"/>
      <w:r>
        <w:rPr>
          <w:rFonts w:hint="eastAsia" w:ascii="宋体" w:hAnsi="宋体" w:eastAsia="宋体" w:cs="宋体"/>
          <w:sz w:val="28"/>
          <w:highlight w:val="none"/>
        </w:rPr>
        <w:t>2、竞争性磋商文件</w:t>
      </w:r>
      <w:bookmarkEnd w:id="168"/>
      <w:bookmarkEnd w:id="169"/>
      <w:bookmarkEnd w:id="170"/>
      <w:bookmarkEnd w:id="171"/>
      <w:bookmarkEnd w:id="172"/>
      <w:bookmarkEnd w:id="173"/>
      <w:bookmarkEnd w:id="174"/>
      <w:bookmarkEnd w:id="175"/>
      <w:bookmarkEnd w:id="176"/>
      <w:bookmarkEnd w:id="177"/>
    </w:p>
    <w:p w14:paraId="32E13D2C">
      <w:pPr>
        <w:pStyle w:val="4"/>
        <w:spacing w:before="0" w:after="0" w:line="360" w:lineRule="auto"/>
        <w:rPr>
          <w:rFonts w:ascii="宋体" w:hAnsi="宋体" w:cs="宋体"/>
          <w:sz w:val="24"/>
          <w:szCs w:val="24"/>
          <w:highlight w:val="none"/>
        </w:rPr>
      </w:pPr>
      <w:bookmarkStart w:id="178" w:name="_Toc27619"/>
      <w:bookmarkStart w:id="179" w:name="_Toc14084"/>
      <w:bookmarkStart w:id="180" w:name="_Toc28731"/>
      <w:bookmarkStart w:id="181" w:name="_Toc515647763"/>
      <w:bookmarkStart w:id="182" w:name="_Toc32371"/>
      <w:bookmarkStart w:id="183" w:name="_Toc520356147"/>
      <w:bookmarkStart w:id="184" w:name="_Toc25743"/>
      <w:bookmarkStart w:id="185" w:name="_Toc532473455"/>
      <w:bookmarkStart w:id="186" w:name="_Toc15048294"/>
      <w:r>
        <w:rPr>
          <w:rFonts w:hint="eastAsia" w:ascii="宋体" w:hAnsi="宋体" w:cs="宋体"/>
          <w:sz w:val="24"/>
          <w:szCs w:val="24"/>
          <w:highlight w:val="none"/>
        </w:rPr>
        <w:t>2.1 竞争性磋商文件构成</w:t>
      </w:r>
      <w:bookmarkEnd w:id="178"/>
      <w:bookmarkEnd w:id="179"/>
      <w:bookmarkEnd w:id="180"/>
      <w:bookmarkEnd w:id="181"/>
      <w:bookmarkEnd w:id="182"/>
      <w:bookmarkEnd w:id="183"/>
      <w:bookmarkEnd w:id="184"/>
      <w:bookmarkEnd w:id="185"/>
      <w:bookmarkEnd w:id="186"/>
    </w:p>
    <w:p w14:paraId="2B03182E">
      <w:pPr>
        <w:spacing w:line="360" w:lineRule="auto"/>
        <w:rPr>
          <w:rFonts w:ascii="宋体" w:hAnsi="宋体" w:cs="宋体"/>
          <w:sz w:val="24"/>
          <w:highlight w:val="none"/>
        </w:rPr>
      </w:pPr>
      <w:r>
        <w:rPr>
          <w:rFonts w:hint="eastAsia" w:ascii="宋体" w:hAnsi="宋体" w:cs="宋体"/>
          <w:sz w:val="24"/>
          <w:highlight w:val="none"/>
        </w:rPr>
        <w:t>2.1.1 竞争性磋商文件共七章，构成如下：</w:t>
      </w:r>
    </w:p>
    <w:p w14:paraId="2B2B0A07">
      <w:pPr>
        <w:spacing w:line="360" w:lineRule="auto"/>
        <w:ind w:firstLine="720" w:firstLineChars="300"/>
        <w:rPr>
          <w:rFonts w:ascii="宋体" w:hAnsi="宋体" w:cs="宋体"/>
          <w:sz w:val="24"/>
          <w:highlight w:val="none"/>
        </w:rPr>
      </w:pPr>
      <w:r>
        <w:rPr>
          <w:rFonts w:hint="eastAsia" w:ascii="宋体" w:hAnsi="宋体" w:cs="宋体"/>
          <w:sz w:val="24"/>
          <w:highlight w:val="none"/>
        </w:rPr>
        <w:t>第一章  竞争性磋商公告</w:t>
      </w:r>
    </w:p>
    <w:p w14:paraId="24C6754A">
      <w:pPr>
        <w:spacing w:line="360" w:lineRule="auto"/>
        <w:ind w:firstLine="720" w:firstLineChars="300"/>
        <w:rPr>
          <w:rFonts w:ascii="宋体" w:hAnsi="宋体" w:cs="宋体"/>
          <w:sz w:val="24"/>
          <w:highlight w:val="none"/>
        </w:rPr>
      </w:pPr>
      <w:r>
        <w:rPr>
          <w:rFonts w:hint="eastAsia" w:ascii="宋体" w:hAnsi="宋体" w:cs="宋体"/>
          <w:sz w:val="24"/>
          <w:highlight w:val="none"/>
        </w:rPr>
        <w:t>第二章  供应商须知</w:t>
      </w:r>
    </w:p>
    <w:p w14:paraId="0AC2ED94">
      <w:pPr>
        <w:spacing w:line="360" w:lineRule="auto"/>
        <w:ind w:firstLine="720" w:firstLineChars="300"/>
        <w:rPr>
          <w:rFonts w:ascii="宋体" w:hAnsi="宋体" w:cs="宋体"/>
          <w:sz w:val="24"/>
          <w:highlight w:val="none"/>
        </w:rPr>
      </w:pPr>
      <w:r>
        <w:rPr>
          <w:rFonts w:hint="eastAsia" w:ascii="宋体" w:hAnsi="宋体" w:cs="宋体"/>
          <w:sz w:val="24"/>
          <w:highlight w:val="none"/>
        </w:rPr>
        <w:t>第三章  采购需求</w:t>
      </w:r>
    </w:p>
    <w:p w14:paraId="2791B55A">
      <w:pPr>
        <w:spacing w:line="360" w:lineRule="auto"/>
        <w:ind w:firstLine="720" w:firstLineChars="300"/>
        <w:rPr>
          <w:rFonts w:ascii="宋体" w:hAnsi="宋体" w:cs="宋体"/>
          <w:sz w:val="24"/>
          <w:highlight w:val="none"/>
        </w:rPr>
      </w:pPr>
      <w:r>
        <w:rPr>
          <w:rFonts w:hint="eastAsia" w:ascii="宋体" w:hAnsi="宋体" w:cs="宋体"/>
          <w:sz w:val="24"/>
          <w:highlight w:val="none"/>
        </w:rPr>
        <w:t>第四章  磋商内容、磋商过程中可能实质性变动的内容</w:t>
      </w:r>
    </w:p>
    <w:p w14:paraId="4634316D">
      <w:pPr>
        <w:spacing w:line="360" w:lineRule="auto"/>
        <w:ind w:firstLine="720" w:firstLineChars="300"/>
        <w:rPr>
          <w:rFonts w:ascii="宋体" w:hAnsi="宋体" w:cs="宋体"/>
          <w:sz w:val="24"/>
          <w:highlight w:val="none"/>
        </w:rPr>
      </w:pPr>
      <w:r>
        <w:rPr>
          <w:rFonts w:hint="eastAsia" w:ascii="宋体" w:hAnsi="宋体" w:cs="宋体"/>
          <w:sz w:val="24"/>
          <w:highlight w:val="none"/>
        </w:rPr>
        <w:t>第五章  磋商程序、评审方法和标准</w:t>
      </w:r>
    </w:p>
    <w:p w14:paraId="08867159">
      <w:pPr>
        <w:spacing w:line="360" w:lineRule="auto"/>
        <w:ind w:firstLine="720" w:firstLineChars="300"/>
        <w:rPr>
          <w:rFonts w:ascii="宋体" w:hAnsi="宋体" w:cs="宋体"/>
          <w:sz w:val="24"/>
          <w:highlight w:val="none"/>
        </w:rPr>
      </w:pPr>
      <w:r>
        <w:rPr>
          <w:rFonts w:hint="eastAsia" w:ascii="宋体" w:hAnsi="宋体" w:cs="宋体"/>
          <w:sz w:val="24"/>
          <w:highlight w:val="none"/>
        </w:rPr>
        <w:t>第六章  政府采购合同条款及格式</w:t>
      </w:r>
    </w:p>
    <w:p w14:paraId="76DAD3B9">
      <w:pPr>
        <w:spacing w:line="360" w:lineRule="auto"/>
        <w:ind w:firstLine="720" w:firstLineChars="300"/>
        <w:rPr>
          <w:rFonts w:ascii="宋体" w:hAnsi="宋体" w:cs="宋体"/>
          <w:sz w:val="24"/>
          <w:highlight w:val="none"/>
        </w:rPr>
      </w:pPr>
      <w:r>
        <w:rPr>
          <w:rFonts w:hint="eastAsia" w:ascii="宋体" w:hAnsi="宋体" w:cs="宋体"/>
          <w:sz w:val="24"/>
          <w:highlight w:val="none"/>
        </w:rPr>
        <w:t>第七章  响应文件格式</w:t>
      </w:r>
    </w:p>
    <w:p w14:paraId="3380649F">
      <w:pPr>
        <w:spacing w:line="360" w:lineRule="auto"/>
        <w:ind w:left="722" w:leftChars="1" w:hanging="720" w:hangingChars="300"/>
        <w:rPr>
          <w:rFonts w:ascii="宋体" w:hAnsi="宋体" w:cs="宋体"/>
          <w:sz w:val="24"/>
          <w:highlight w:val="none"/>
        </w:rPr>
      </w:pPr>
      <w:r>
        <w:rPr>
          <w:rFonts w:hint="eastAsia" w:ascii="宋体" w:hAnsi="宋体" w:cs="宋体"/>
          <w:sz w:val="24"/>
          <w:highlight w:val="none"/>
        </w:rPr>
        <w:t>2.1.2 竞争性磋商文件中有不一致(或矛盾)的，有澄清的部分以最终的澄清更正内容为准；未澄清的，按照竞争性磋商公告、</w:t>
      </w:r>
      <w:bookmarkStart w:id="187" w:name="_Hlk57213025"/>
      <w:r>
        <w:rPr>
          <w:rFonts w:hint="eastAsia" w:ascii="宋体" w:hAnsi="宋体" w:cs="宋体"/>
          <w:sz w:val="24"/>
          <w:highlight w:val="none"/>
        </w:rPr>
        <w:t>“磋商程序、评审方法和标准”</w:t>
      </w:r>
      <w:bookmarkEnd w:id="187"/>
      <w:r>
        <w:rPr>
          <w:rFonts w:hint="eastAsia" w:ascii="宋体" w:hAnsi="宋体" w:cs="宋体"/>
          <w:sz w:val="24"/>
          <w:highlight w:val="none"/>
        </w:rPr>
        <w:t>、采购需求、供应商须知、政府采购合同、响应文件格式的顺序进行解释，排名在前的具有优先解释权。第二章供应商须知中，如果</w:t>
      </w:r>
      <w:r>
        <w:rPr>
          <w:rFonts w:hint="eastAsia" w:ascii="宋体" w:hAnsi="宋体" w:cs="宋体"/>
          <w:b/>
          <w:sz w:val="24"/>
          <w:highlight w:val="none"/>
          <w:u w:val="single"/>
        </w:rPr>
        <w:t>供应商须知前附表</w:t>
      </w:r>
      <w:r>
        <w:rPr>
          <w:rFonts w:hint="eastAsia" w:ascii="宋体" w:hAnsi="宋体" w:cs="宋体"/>
          <w:sz w:val="24"/>
          <w:highlight w:val="none"/>
        </w:rPr>
        <w:t>的内容与供应商须知中的内容有不一致(或矛盾)的</w:t>
      </w:r>
      <w:r>
        <w:rPr>
          <w:rFonts w:hint="eastAsia" w:ascii="宋体" w:hAnsi="宋体" w:cs="宋体"/>
          <w:b/>
          <w:sz w:val="24"/>
          <w:highlight w:val="none"/>
        </w:rPr>
        <w:t>以</w:t>
      </w:r>
      <w:r>
        <w:rPr>
          <w:rFonts w:hint="eastAsia" w:ascii="宋体" w:hAnsi="宋体" w:cs="宋体"/>
          <w:b/>
          <w:sz w:val="24"/>
          <w:highlight w:val="none"/>
          <w:u w:val="single"/>
        </w:rPr>
        <w:t>供应商须知前附表</w:t>
      </w:r>
      <w:r>
        <w:rPr>
          <w:rFonts w:hint="eastAsia" w:ascii="宋体" w:hAnsi="宋体" w:cs="宋体"/>
          <w:b/>
          <w:sz w:val="24"/>
          <w:highlight w:val="none"/>
        </w:rPr>
        <w:t>为准。竞争性磋商文件在本文件以下内容中简称“采购文件”。</w:t>
      </w:r>
    </w:p>
    <w:p w14:paraId="47970118">
      <w:pPr>
        <w:spacing w:line="360" w:lineRule="auto"/>
        <w:ind w:left="720" w:hanging="720" w:hangingChars="300"/>
        <w:rPr>
          <w:rFonts w:ascii="宋体" w:hAnsi="宋体" w:cs="宋体"/>
          <w:sz w:val="24"/>
          <w:highlight w:val="none"/>
        </w:rPr>
      </w:pPr>
      <w:r>
        <w:rPr>
          <w:rFonts w:hint="eastAsia" w:ascii="宋体" w:hAnsi="宋体" w:cs="宋体"/>
          <w:sz w:val="24"/>
          <w:highlight w:val="none"/>
        </w:rPr>
        <w:t>2.1.3 供应商应认真阅读采购文件中所有的事项、格式、条款和技术要求等。如果供应商没有按照采购文件要求提交相应资料，或者响应文件没有对采购文件的实质性要求做出响应，其响应文件将被认定为</w:t>
      </w:r>
      <w:r>
        <w:rPr>
          <w:rFonts w:hint="eastAsia" w:ascii="宋体" w:hAnsi="宋体" w:cs="宋体"/>
          <w:b/>
          <w:bCs/>
          <w:sz w:val="24"/>
          <w:highlight w:val="none"/>
        </w:rPr>
        <w:t>无效响应文件</w:t>
      </w:r>
      <w:r>
        <w:rPr>
          <w:rFonts w:hint="eastAsia" w:ascii="宋体" w:hAnsi="宋体" w:cs="宋体"/>
          <w:sz w:val="24"/>
          <w:highlight w:val="none"/>
        </w:rPr>
        <w:t>。</w:t>
      </w:r>
    </w:p>
    <w:p w14:paraId="285EFD05">
      <w:pPr>
        <w:pStyle w:val="4"/>
        <w:spacing w:before="0" w:after="0" w:line="360" w:lineRule="auto"/>
        <w:rPr>
          <w:rFonts w:ascii="宋体" w:hAnsi="宋体" w:cs="宋体"/>
          <w:sz w:val="24"/>
          <w:szCs w:val="24"/>
          <w:highlight w:val="none"/>
        </w:rPr>
      </w:pPr>
      <w:bookmarkStart w:id="188" w:name="_Toc520356148"/>
      <w:bookmarkStart w:id="189" w:name="_Toc515904805"/>
      <w:bookmarkStart w:id="190" w:name="_Toc532473456"/>
      <w:bookmarkStart w:id="191" w:name="_Toc23020"/>
      <w:bookmarkStart w:id="192" w:name="_Toc9232"/>
      <w:bookmarkStart w:id="193" w:name="_Toc15901"/>
      <w:bookmarkStart w:id="194" w:name="_Toc11237"/>
      <w:bookmarkStart w:id="195" w:name="_Toc26044"/>
      <w:bookmarkStart w:id="196" w:name="_Toc15048295"/>
      <w:r>
        <w:rPr>
          <w:rFonts w:hint="eastAsia" w:ascii="宋体" w:hAnsi="宋体" w:cs="宋体"/>
          <w:sz w:val="24"/>
          <w:szCs w:val="24"/>
          <w:highlight w:val="none"/>
        </w:rPr>
        <w:t>2.2 竞争性磋商文件的澄清</w:t>
      </w:r>
      <w:bookmarkEnd w:id="188"/>
      <w:bookmarkEnd w:id="189"/>
      <w:r>
        <w:rPr>
          <w:rFonts w:hint="eastAsia" w:ascii="宋体" w:hAnsi="宋体" w:cs="宋体"/>
          <w:sz w:val="24"/>
          <w:szCs w:val="24"/>
          <w:highlight w:val="none"/>
        </w:rPr>
        <w:t>与修改</w:t>
      </w:r>
      <w:bookmarkEnd w:id="190"/>
      <w:bookmarkEnd w:id="191"/>
      <w:bookmarkEnd w:id="192"/>
      <w:bookmarkEnd w:id="193"/>
      <w:bookmarkEnd w:id="194"/>
      <w:bookmarkEnd w:id="195"/>
      <w:bookmarkEnd w:id="196"/>
    </w:p>
    <w:p w14:paraId="658E57F9">
      <w:pPr>
        <w:spacing w:line="360" w:lineRule="auto"/>
        <w:ind w:left="720" w:hanging="720" w:hangingChars="300"/>
        <w:rPr>
          <w:rFonts w:ascii="宋体" w:hAnsi="宋体" w:cs="宋体"/>
          <w:sz w:val="24"/>
          <w:highlight w:val="none"/>
        </w:rPr>
      </w:pPr>
      <w:r>
        <w:rPr>
          <w:rFonts w:hint="eastAsia" w:ascii="宋体" w:hAnsi="宋体" w:cs="宋体"/>
          <w:sz w:val="24"/>
          <w:highlight w:val="none"/>
        </w:rPr>
        <w:t>2.2.1 供应商应仔细阅读和检查采购文件的全部内容。如发现缺页或附件不全，应及时向采购代理机构提出，以便补齐。如有疑问，应在</w:t>
      </w:r>
      <w:r>
        <w:rPr>
          <w:rFonts w:hint="eastAsia" w:ascii="宋体" w:hAnsi="宋体" w:cs="宋体"/>
          <w:b/>
          <w:sz w:val="24"/>
          <w:highlight w:val="none"/>
          <w:u w:val="single"/>
        </w:rPr>
        <w:t>供应商须知前附表</w:t>
      </w:r>
      <w:r>
        <w:rPr>
          <w:rFonts w:hint="eastAsia" w:ascii="宋体" w:hAnsi="宋体" w:cs="宋体"/>
          <w:sz w:val="24"/>
          <w:highlight w:val="none"/>
        </w:rPr>
        <w:t>规定的时间前在</w:t>
      </w:r>
      <w:r>
        <w:rPr>
          <w:rFonts w:hint="eastAsia" w:ascii="宋体" w:hAnsi="宋体" w:cs="宋体"/>
          <w:b/>
          <w:bCs/>
          <w:sz w:val="24"/>
          <w:highlight w:val="none"/>
        </w:rPr>
        <w:t>《河南省公共资源交易中心网站》</w:t>
      </w:r>
      <w:r>
        <w:rPr>
          <w:rFonts w:hint="eastAsia" w:ascii="宋体" w:hAnsi="宋体" w:cs="宋体"/>
          <w:sz w:val="24"/>
          <w:highlight w:val="none"/>
        </w:rPr>
        <w:t>交易平台上进行提问，要求采购代理机构对采购文件予以澄清。</w:t>
      </w:r>
    </w:p>
    <w:p w14:paraId="67D56D7B">
      <w:pPr>
        <w:spacing w:line="360" w:lineRule="auto"/>
        <w:ind w:left="720" w:hanging="720" w:hangingChars="300"/>
        <w:rPr>
          <w:rFonts w:ascii="宋体" w:hAnsi="宋体" w:cs="宋体"/>
          <w:sz w:val="24"/>
          <w:highlight w:val="none"/>
        </w:rPr>
      </w:pPr>
      <w:r>
        <w:rPr>
          <w:rFonts w:hint="eastAsia" w:ascii="宋体" w:hAnsi="宋体" w:cs="宋体"/>
          <w:sz w:val="24"/>
          <w:highlight w:val="none"/>
        </w:rPr>
        <w:t>2.2.2 采购代理机构可主动地或在解答供应商提出的澄清问题时对采购文件进行澄清（更正）或修改。采购代理机构将以发布澄清（更正）公告的方式，澄清（更正）或修改采购文件，澄清（更正）或修改的内容作为采购文件的组成部分。澄清（更正）或者修改的内容可能影响响应文件编制的，应当在递交首次响应文件截止时间至少5个工作日前，在原公告发布媒体上发布变更（更正）公告（或澄清公告），不足5个工作日的，采购代理机构将顺延首次递交响应文件的截止时间。</w:t>
      </w:r>
    </w:p>
    <w:p w14:paraId="167C092C">
      <w:pPr>
        <w:spacing w:line="360" w:lineRule="auto"/>
        <w:ind w:left="720" w:hanging="720" w:hangingChars="300"/>
        <w:rPr>
          <w:rFonts w:ascii="宋体" w:hAnsi="宋体" w:cs="宋体"/>
          <w:sz w:val="24"/>
          <w:highlight w:val="none"/>
        </w:rPr>
      </w:pPr>
      <w:r>
        <w:rPr>
          <w:rFonts w:hint="eastAsia" w:ascii="宋体" w:hAnsi="宋体" w:cs="宋体"/>
          <w:sz w:val="24"/>
          <w:highlight w:val="none"/>
        </w:rPr>
        <w:t>2.2.3 采购文件的澄清（更正）或修改将在</w:t>
      </w:r>
      <w:r>
        <w:rPr>
          <w:rFonts w:hint="eastAsia" w:ascii="宋体" w:hAnsi="宋体" w:cs="宋体"/>
          <w:b/>
          <w:sz w:val="24"/>
          <w:highlight w:val="none"/>
          <w:u w:val="single"/>
        </w:rPr>
        <w:t>供应商须知前附表</w:t>
      </w:r>
      <w:r>
        <w:rPr>
          <w:rFonts w:hint="eastAsia" w:ascii="宋体" w:hAnsi="宋体" w:cs="宋体"/>
          <w:sz w:val="24"/>
          <w:highlight w:val="none"/>
        </w:rPr>
        <w:t>规定的时间在交易平台上公布给供应商，但不指明澄清问题的来源。</w:t>
      </w:r>
    </w:p>
    <w:p w14:paraId="13CA5CBF">
      <w:pPr>
        <w:spacing w:line="360" w:lineRule="auto"/>
        <w:ind w:left="720" w:hanging="720" w:hangingChars="300"/>
        <w:rPr>
          <w:rFonts w:ascii="宋体" w:hAnsi="宋体" w:cs="宋体"/>
          <w:sz w:val="24"/>
          <w:highlight w:val="none"/>
        </w:rPr>
      </w:pPr>
      <w:r>
        <w:rPr>
          <w:rFonts w:hint="eastAsia" w:ascii="宋体" w:hAnsi="宋体" w:cs="宋体"/>
          <w:sz w:val="24"/>
          <w:highlight w:val="none"/>
        </w:rPr>
        <w:t>2.2.4 采购代理机构对已发出的采购文件进行的澄清、更正或修改，澄清、更正或修改的内容将作为采购文件的组成部分。采购代理机构将通过</w:t>
      </w:r>
      <w:r>
        <w:rPr>
          <w:highlight w:val="none"/>
        </w:rPr>
        <w:fldChar w:fldCharType="begin"/>
      </w:r>
      <w:r>
        <w:rPr>
          <w:highlight w:val="none"/>
        </w:rPr>
        <w:instrText xml:space="preserve"> HYPERLINK "http://www.ccgp-henan.gov.cn)和河南省政府采购网河南省公共资源交易网" </w:instrText>
      </w:r>
      <w:r>
        <w:rPr>
          <w:highlight w:val="none"/>
        </w:rPr>
        <w:fldChar w:fldCharType="separate"/>
      </w:r>
      <w:r>
        <w:rPr>
          <w:rFonts w:hint="eastAsia" w:ascii="宋体" w:hAnsi="宋体" w:cs="宋体"/>
          <w:sz w:val="24"/>
          <w:highlight w:val="none"/>
        </w:rPr>
        <w:t>河南省政府采购网（https://zfcg.henan.gov.cn/）河南省公共资源交易网</w:t>
      </w:r>
      <w:r>
        <w:rPr>
          <w:rFonts w:hint="eastAsia" w:ascii="宋体" w:hAnsi="宋体" w:cs="宋体"/>
          <w:sz w:val="24"/>
          <w:highlight w:val="none"/>
        </w:rPr>
        <w:fldChar w:fldCharType="end"/>
      </w:r>
      <w:r>
        <w:rPr>
          <w:rFonts w:hint="eastAsia" w:ascii="宋体" w:hAnsi="宋体" w:cs="宋体"/>
          <w:sz w:val="24"/>
          <w:highlight w:val="none"/>
        </w:rPr>
        <w:t>（http://hnsggzyjy.henan.gov.cn/）网站“变更（澄清或更正）公告”和系统内部“答疑文件”告知供应商，各供应商须重新下载最新的答疑、变更（澄清或更正）文件，以此编制响应文件。</w:t>
      </w:r>
    </w:p>
    <w:p w14:paraId="0B0AD275">
      <w:pPr>
        <w:spacing w:line="360" w:lineRule="auto"/>
        <w:ind w:left="720" w:hanging="720" w:hangingChars="300"/>
        <w:rPr>
          <w:rFonts w:ascii="宋体" w:hAnsi="宋体" w:cs="宋体"/>
          <w:b/>
          <w:bCs/>
          <w:sz w:val="24"/>
          <w:highlight w:val="none"/>
        </w:rPr>
      </w:pPr>
      <w:r>
        <w:rPr>
          <w:rFonts w:hint="eastAsia" w:ascii="宋体" w:hAnsi="宋体" w:cs="宋体"/>
          <w:sz w:val="24"/>
          <w:highlight w:val="none"/>
        </w:rPr>
        <w:t>2.2.5《</w:t>
      </w:r>
      <w:r>
        <w:rPr>
          <w:rFonts w:hint="eastAsia" w:ascii="宋体" w:hAnsi="宋体" w:cs="宋体"/>
          <w:b/>
          <w:bCs/>
          <w:sz w:val="24"/>
          <w:highlight w:val="none"/>
        </w:rPr>
        <w:t>河南省公共资源交易中心》交易平台供应商信息在磋商开始前具有保密性，供应商在响应文件提交截止时间前应当自行查看项目进展、答疑、变更（澄清或更正）通知、澄清及回复，因供应商未及时查看（或未按要求编制响应文件）而造成的后果自负。</w:t>
      </w:r>
    </w:p>
    <w:p w14:paraId="26329BB1">
      <w:pPr>
        <w:pStyle w:val="4"/>
        <w:tabs>
          <w:tab w:val="left" w:pos="900"/>
        </w:tabs>
        <w:spacing w:before="0" w:after="0" w:line="360" w:lineRule="auto"/>
        <w:rPr>
          <w:rFonts w:ascii="宋体" w:hAnsi="宋体" w:cs="宋体"/>
          <w:b w:val="0"/>
          <w:sz w:val="24"/>
          <w:highlight w:val="none"/>
        </w:rPr>
      </w:pPr>
      <w:bookmarkStart w:id="197" w:name="_Toc5911"/>
      <w:bookmarkStart w:id="198" w:name="_Toc36564736"/>
      <w:bookmarkStart w:id="199" w:name="_Toc40972811"/>
      <w:bookmarkStart w:id="200" w:name="_Toc4432"/>
      <w:bookmarkStart w:id="201" w:name="_Toc15204250"/>
      <w:bookmarkStart w:id="202" w:name="_Toc22531"/>
      <w:r>
        <w:rPr>
          <w:rFonts w:hint="eastAsia" w:ascii="宋体" w:hAnsi="宋体" w:cs="宋体"/>
          <w:sz w:val="24"/>
          <w:szCs w:val="24"/>
          <w:highlight w:val="none"/>
        </w:rPr>
        <w:t>2.3 采购文件的解释</w:t>
      </w:r>
      <w:bookmarkEnd w:id="197"/>
      <w:bookmarkEnd w:id="198"/>
      <w:bookmarkEnd w:id="199"/>
      <w:bookmarkEnd w:id="200"/>
      <w:bookmarkEnd w:id="201"/>
      <w:bookmarkEnd w:id="202"/>
    </w:p>
    <w:p w14:paraId="79711803">
      <w:pPr>
        <w:spacing w:line="360" w:lineRule="auto"/>
        <w:ind w:left="720" w:hanging="720" w:hangingChars="300"/>
        <w:rPr>
          <w:rFonts w:ascii="宋体" w:hAnsi="宋体" w:cs="宋体"/>
          <w:sz w:val="24"/>
          <w:highlight w:val="none"/>
        </w:rPr>
      </w:pPr>
      <w:r>
        <w:rPr>
          <w:rFonts w:hint="eastAsia" w:ascii="宋体" w:hAnsi="宋体" w:cs="宋体"/>
          <w:sz w:val="24"/>
          <w:highlight w:val="none"/>
        </w:rPr>
        <w:t>2.3.1 采购文件的最终解释权归采购人，所有解释均依据本采购文件及有关的法律、法规；在磋商时，若出现采购文件无明确说明和处理的情况时，由磋商小组讨论确定处理方案；磋商小组成员之间对处理方案有争议时，采取少数服从多数的方式确定。</w:t>
      </w:r>
    </w:p>
    <w:p w14:paraId="23429318">
      <w:pPr>
        <w:pStyle w:val="4"/>
        <w:tabs>
          <w:tab w:val="left" w:pos="900"/>
        </w:tabs>
        <w:spacing w:before="0" w:after="0" w:line="360" w:lineRule="auto"/>
        <w:rPr>
          <w:rFonts w:ascii="宋体" w:hAnsi="宋体" w:cs="宋体"/>
          <w:sz w:val="24"/>
          <w:szCs w:val="24"/>
          <w:highlight w:val="none"/>
        </w:rPr>
      </w:pPr>
      <w:bookmarkStart w:id="203" w:name="_Toc15048296"/>
      <w:bookmarkStart w:id="204" w:name="_Toc29501"/>
      <w:bookmarkStart w:id="205" w:name="_Toc9729"/>
      <w:bookmarkStart w:id="206" w:name="_Toc532473457"/>
      <w:bookmarkStart w:id="207" w:name="_Toc25635"/>
      <w:bookmarkStart w:id="208" w:name="_Toc15397"/>
      <w:bookmarkStart w:id="209" w:name="_Toc14569"/>
      <w:r>
        <w:rPr>
          <w:rFonts w:hint="eastAsia" w:ascii="宋体" w:hAnsi="宋体" w:cs="宋体"/>
          <w:sz w:val="24"/>
          <w:szCs w:val="24"/>
          <w:highlight w:val="none"/>
        </w:rPr>
        <w:t>2.4 响应文件提交截止时间的顺延</w:t>
      </w:r>
      <w:bookmarkEnd w:id="203"/>
      <w:bookmarkEnd w:id="204"/>
      <w:bookmarkEnd w:id="205"/>
      <w:bookmarkEnd w:id="206"/>
      <w:bookmarkEnd w:id="207"/>
      <w:bookmarkEnd w:id="208"/>
      <w:bookmarkEnd w:id="209"/>
    </w:p>
    <w:p w14:paraId="65087252">
      <w:pPr>
        <w:spacing w:line="360" w:lineRule="auto"/>
        <w:ind w:left="720" w:hanging="720" w:hangingChars="300"/>
        <w:rPr>
          <w:rFonts w:ascii="宋体" w:hAnsi="宋体" w:cs="宋体"/>
          <w:sz w:val="24"/>
          <w:highlight w:val="none"/>
        </w:rPr>
      </w:pPr>
      <w:r>
        <w:rPr>
          <w:rFonts w:hint="eastAsia" w:ascii="宋体" w:hAnsi="宋体" w:cs="宋体"/>
          <w:sz w:val="24"/>
          <w:highlight w:val="none"/>
        </w:rPr>
        <w:t>2.4.1为使供应商有足够的时间对采购文件的澄清（更正）或者修改部分进行研究而准备编制响应文件或因其他原因，采购人将依法决定是否顺延响应文件提交截止时间。</w:t>
      </w:r>
    </w:p>
    <w:p w14:paraId="59F1DC3C">
      <w:pPr>
        <w:pStyle w:val="2"/>
        <w:tabs>
          <w:tab w:val="left" w:pos="900"/>
        </w:tabs>
        <w:spacing w:before="0" w:after="0" w:line="360" w:lineRule="auto"/>
        <w:rPr>
          <w:rFonts w:ascii="宋体" w:hAnsi="宋体" w:eastAsia="宋体" w:cs="宋体"/>
          <w:sz w:val="28"/>
          <w:highlight w:val="none"/>
        </w:rPr>
      </w:pPr>
      <w:bookmarkStart w:id="210" w:name="_Toc520356150"/>
      <w:bookmarkStart w:id="211" w:name="_Toc7636"/>
      <w:bookmarkStart w:id="212" w:name="_Toc515647766"/>
      <w:bookmarkStart w:id="213" w:name="_Toc532473458"/>
      <w:bookmarkStart w:id="214" w:name="_Toc15048297"/>
      <w:bookmarkStart w:id="215" w:name="_Toc216582807"/>
      <w:bookmarkStart w:id="216" w:name="_Toc30808"/>
      <w:bookmarkStart w:id="217" w:name="_Toc516367020"/>
      <w:bookmarkStart w:id="218" w:name="_Toc23745"/>
      <w:bookmarkStart w:id="219" w:name="_Toc1213"/>
      <w:bookmarkStart w:id="220" w:name="_Toc6592"/>
      <w:r>
        <w:rPr>
          <w:rFonts w:hint="eastAsia" w:ascii="宋体" w:hAnsi="宋体" w:eastAsia="宋体" w:cs="宋体"/>
          <w:sz w:val="28"/>
          <w:highlight w:val="none"/>
        </w:rPr>
        <w:t>3、响应文件</w:t>
      </w:r>
      <w:bookmarkEnd w:id="210"/>
      <w:bookmarkEnd w:id="211"/>
      <w:bookmarkEnd w:id="212"/>
      <w:bookmarkEnd w:id="213"/>
      <w:bookmarkEnd w:id="214"/>
      <w:bookmarkEnd w:id="215"/>
      <w:bookmarkEnd w:id="216"/>
      <w:bookmarkEnd w:id="217"/>
      <w:r>
        <w:rPr>
          <w:rFonts w:hint="eastAsia" w:ascii="宋体" w:hAnsi="宋体" w:eastAsia="宋体" w:cs="宋体"/>
          <w:sz w:val="28"/>
          <w:highlight w:val="none"/>
        </w:rPr>
        <w:t>编制</w:t>
      </w:r>
      <w:bookmarkEnd w:id="218"/>
      <w:bookmarkEnd w:id="219"/>
      <w:bookmarkEnd w:id="220"/>
    </w:p>
    <w:p w14:paraId="2CED8256">
      <w:pPr>
        <w:pStyle w:val="4"/>
        <w:tabs>
          <w:tab w:val="left" w:pos="900"/>
        </w:tabs>
        <w:spacing w:before="0" w:after="0" w:line="360" w:lineRule="auto"/>
        <w:rPr>
          <w:rFonts w:ascii="宋体" w:hAnsi="宋体" w:cs="宋体"/>
          <w:sz w:val="24"/>
          <w:szCs w:val="24"/>
          <w:highlight w:val="none"/>
        </w:rPr>
      </w:pPr>
      <w:bookmarkStart w:id="221" w:name="_Toc23404"/>
      <w:bookmarkStart w:id="222" w:name="_Toc15048298"/>
      <w:bookmarkStart w:id="223" w:name="_Toc516367021"/>
      <w:bookmarkStart w:id="224" w:name="_Toc532473459"/>
      <w:bookmarkStart w:id="225" w:name="_Toc515647767"/>
      <w:bookmarkStart w:id="226" w:name="_Toc520356151"/>
      <w:bookmarkStart w:id="227" w:name="_Toc19646"/>
      <w:bookmarkStart w:id="228" w:name="_Toc3553"/>
      <w:bookmarkStart w:id="229" w:name="_Toc7786"/>
      <w:bookmarkStart w:id="230" w:name="_Toc6498"/>
      <w:r>
        <w:rPr>
          <w:rFonts w:hint="eastAsia" w:ascii="宋体" w:hAnsi="宋体" w:cs="宋体"/>
          <w:sz w:val="24"/>
          <w:szCs w:val="24"/>
          <w:highlight w:val="none"/>
        </w:rPr>
        <w:t>3.1 供应商参加竞争性磋商的响应范围及响应文件中的标准和计量单位的使用</w:t>
      </w:r>
      <w:bookmarkEnd w:id="221"/>
      <w:bookmarkEnd w:id="222"/>
      <w:bookmarkEnd w:id="223"/>
      <w:bookmarkEnd w:id="224"/>
      <w:bookmarkEnd w:id="225"/>
      <w:bookmarkEnd w:id="226"/>
      <w:bookmarkEnd w:id="227"/>
      <w:bookmarkEnd w:id="228"/>
      <w:bookmarkEnd w:id="229"/>
      <w:bookmarkEnd w:id="230"/>
    </w:p>
    <w:p w14:paraId="66A8B203">
      <w:pPr>
        <w:spacing w:line="360" w:lineRule="auto"/>
        <w:ind w:left="720" w:hanging="720" w:hangingChars="300"/>
        <w:rPr>
          <w:rFonts w:ascii="宋体" w:hAnsi="宋体" w:cs="宋体"/>
          <w:sz w:val="24"/>
          <w:highlight w:val="none"/>
        </w:rPr>
      </w:pPr>
      <w:r>
        <w:rPr>
          <w:rFonts w:hint="eastAsia" w:ascii="宋体" w:hAnsi="宋体" w:cs="宋体"/>
          <w:sz w:val="24"/>
          <w:highlight w:val="none"/>
        </w:rPr>
        <w:t>3.1.1 当采购项目只有一个“包”或“标段”的，供应商应当按采购文件中规定的内容编制响应文件；供应商应当对采购文件中的 “采购需求”所列的所有采购内容进行响应及报价，如仅对“采购需求”中的部分内容进行响应（或报价），该响应文件将被认定为</w:t>
      </w:r>
      <w:r>
        <w:rPr>
          <w:rFonts w:hint="eastAsia" w:ascii="宋体" w:hAnsi="宋体" w:cs="宋体"/>
          <w:b/>
          <w:bCs/>
          <w:sz w:val="24"/>
          <w:highlight w:val="none"/>
        </w:rPr>
        <w:t>无效响应文件</w:t>
      </w:r>
      <w:r>
        <w:rPr>
          <w:rFonts w:hint="eastAsia" w:ascii="宋体" w:hAnsi="宋体" w:cs="宋体"/>
          <w:sz w:val="24"/>
          <w:highlight w:val="none"/>
        </w:rPr>
        <w:t>。采购文件中允许的偏差除外。</w:t>
      </w:r>
    </w:p>
    <w:p w14:paraId="4D27258E">
      <w:pPr>
        <w:spacing w:line="360" w:lineRule="auto"/>
        <w:ind w:left="720" w:hanging="720" w:hangingChars="300"/>
        <w:rPr>
          <w:rFonts w:ascii="宋体" w:hAnsi="宋体" w:cs="宋体"/>
          <w:sz w:val="24"/>
          <w:highlight w:val="none"/>
        </w:rPr>
      </w:pPr>
      <w:r>
        <w:rPr>
          <w:rFonts w:hint="eastAsia" w:ascii="宋体" w:hAnsi="宋体" w:cs="宋体"/>
          <w:sz w:val="24"/>
          <w:highlight w:val="none"/>
        </w:rPr>
        <w:t>3.1.2 当采购项目分为两个及以上不同“包”或“标段”的，供应商可以同时参加各个“包”或“标段”的采购活动，除非在</w:t>
      </w:r>
      <w:r>
        <w:rPr>
          <w:rFonts w:hint="eastAsia" w:ascii="宋体" w:hAnsi="宋体" w:cs="宋体"/>
          <w:b/>
          <w:sz w:val="24"/>
          <w:highlight w:val="none"/>
          <w:u w:val="single"/>
        </w:rPr>
        <w:t>供应商须知前附表</w:t>
      </w:r>
      <w:r>
        <w:rPr>
          <w:rFonts w:hint="eastAsia" w:ascii="宋体" w:hAnsi="宋体" w:cs="宋体"/>
          <w:sz w:val="24"/>
          <w:highlight w:val="none"/>
        </w:rPr>
        <w:t>中另有规定。</w:t>
      </w:r>
    </w:p>
    <w:p w14:paraId="6CFD2A62">
      <w:pPr>
        <w:spacing w:line="360" w:lineRule="auto"/>
        <w:ind w:left="720" w:hanging="720" w:hangingChars="300"/>
        <w:rPr>
          <w:rFonts w:ascii="宋体" w:hAnsi="宋体" w:cs="宋体"/>
          <w:sz w:val="24"/>
          <w:highlight w:val="none"/>
        </w:rPr>
      </w:pPr>
      <w:r>
        <w:rPr>
          <w:rFonts w:hint="eastAsia" w:ascii="宋体" w:hAnsi="宋体" w:cs="宋体"/>
          <w:sz w:val="24"/>
          <w:highlight w:val="none"/>
        </w:rPr>
        <w:t>3.1.3 当采购项目分为两个及以上不同“包”或“标段”的，供应商应当以采购文件中的“包”或“标段”为单位编制响应文件；供应商应当对所响应“包”或“标段”按照采购文件中对应“包”或“标段”的 “采购需求”中所列的所有采购内容进行响应及报价；如仅对“包”或“标段”中 “采购需求”的部分内容进行响应（或报价），其该包（或标段）的响应文件将被认定为</w:t>
      </w:r>
      <w:r>
        <w:rPr>
          <w:rFonts w:hint="eastAsia" w:ascii="宋体" w:hAnsi="宋体" w:cs="宋体"/>
          <w:b/>
          <w:bCs/>
          <w:sz w:val="24"/>
          <w:highlight w:val="none"/>
        </w:rPr>
        <w:t>无效响应文件</w:t>
      </w:r>
      <w:r>
        <w:rPr>
          <w:rFonts w:hint="eastAsia" w:ascii="宋体" w:hAnsi="宋体" w:cs="宋体"/>
          <w:sz w:val="24"/>
          <w:highlight w:val="none"/>
        </w:rPr>
        <w:t>。采购文件中允许的偏差除外。</w:t>
      </w:r>
    </w:p>
    <w:p w14:paraId="57E989C5">
      <w:pPr>
        <w:spacing w:line="360" w:lineRule="auto"/>
        <w:ind w:left="720" w:hanging="720" w:hangingChars="300"/>
        <w:rPr>
          <w:rFonts w:ascii="宋体" w:hAnsi="宋体" w:cs="宋体"/>
          <w:sz w:val="24"/>
          <w:highlight w:val="none"/>
        </w:rPr>
      </w:pPr>
      <w:r>
        <w:rPr>
          <w:rFonts w:hint="eastAsia" w:ascii="宋体" w:hAnsi="宋体" w:cs="宋体"/>
          <w:sz w:val="24"/>
          <w:highlight w:val="none"/>
        </w:rPr>
        <w:t>3.1.4 无论采购文件中是否要求，供应商所提供的</w:t>
      </w:r>
      <w:r>
        <w:rPr>
          <w:rFonts w:hint="eastAsia" w:ascii="宋体" w:hAnsi="宋体" w:cs="宋体"/>
          <w:b/>
          <w:bCs/>
          <w:sz w:val="24"/>
          <w:highlight w:val="none"/>
        </w:rPr>
        <w:t>货物/服务</w:t>
      </w:r>
      <w:r>
        <w:rPr>
          <w:rFonts w:hint="eastAsia" w:ascii="宋体" w:hAnsi="宋体" w:cs="宋体"/>
          <w:sz w:val="24"/>
          <w:highlight w:val="none"/>
        </w:rPr>
        <w:t>均应符合国家强制性标准。</w:t>
      </w:r>
    </w:p>
    <w:p w14:paraId="4199F0D6">
      <w:pPr>
        <w:spacing w:line="360" w:lineRule="auto"/>
        <w:ind w:left="720" w:hanging="720" w:hangingChars="300"/>
        <w:rPr>
          <w:rFonts w:ascii="宋体" w:hAnsi="宋体" w:cs="宋体"/>
          <w:sz w:val="24"/>
          <w:highlight w:val="none"/>
        </w:rPr>
      </w:pPr>
      <w:r>
        <w:rPr>
          <w:rFonts w:hint="eastAsia" w:ascii="宋体" w:hAnsi="宋体" w:cs="宋体"/>
          <w:sz w:val="24"/>
          <w:highlight w:val="none"/>
        </w:rPr>
        <w:t xml:space="preserve">3.1.5 </w:t>
      </w:r>
      <w:r>
        <w:rPr>
          <w:rFonts w:hint="eastAsia" w:ascii="宋体" w:hAnsi="宋体" w:cs="宋体"/>
          <w:b/>
          <w:bCs/>
          <w:sz w:val="24"/>
          <w:highlight w:val="none"/>
        </w:rPr>
        <w:t>计量单位：</w:t>
      </w:r>
      <w:r>
        <w:rPr>
          <w:rFonts w:hint="eastAsia" w:ascii="宋体" w:hAnsi="宋体" w:cs="宋体"/>
          <w:sz w:val="24"/>
          <w:highlight w:val="none"/>
        </w:rPr>
        <w:t>除采购文件中有特殊要求外，响应文件中所使用的计量单位，应采用中华人民共和国法定计量单位。</w:t>
      </w:r>
    </w:p>
    <w:p w14:paraId="13351172">
      <w:pPr>
        <w:tabs>
          <w:tab w:val="left" w:pos="360"/>
          <w:tab w:val="left" w:pos="1904"/>
        </w:tabs>
        <w:spacing w:line="360" w:lineRule="auto"/>
        <w:ind w:left="723" w:hanging="723" w:hangingChars="300"/>
        <w:rPr>
          <w:rFonts w:ascii="宋体" w:hAnsi="宋体" w:cs="宋体"/>
          <w:b/>
          <w:bCs/>
          <w:sz w:val="24"/>
          <w:highlight w:val="none"/>
        </w:rPr>
      </w:pPr>
      <w:r>
        <w:rPr>
          <w:rFonts w:hint="eastAsia" w:ascii="宋体" w:hAnsi="宋体" w:cs="宋体"/>
          <w:b/>
          <w:bCs/>
          <w:sz w:val="24"/>
          <w:highlight w:val="none"/>
        </w:rPr>
        <w:t>3.1.6 磋商语言文字：</w:t>
      </w:r>
      <w:r>
        <w:rPr>
          <w:rFonts w:hint="eastAsia" w:ascii="宋体" w:hAnsi="宋体" w:cs="宋体"/>
          <w:sz w:val="24"/>
          <w:highlight w:val="none"/>
        </w:rPr>
        <w:t>除专用术语外，</w:t>
      </w:r>
      <w:r>
        <w:rPr>
          <w:rFonts w:hint="eastAsia" w:ascii="宋体" w:hAnsi="宋体" w:cs="宋体"/>
          <w:bCs/>
          <w:sz w:val="24"/>
          <w:highlight w:val="none"/>
        </w:rPr>
        <w:t>响应</w:t>
      </w:r>
      <w:r>
        <w:rPr>
          <w:rFonts w:hint="eastAsia" w:ascii="宋体" w:hAnsi="宋体" w:cs="宋体"/>
          <w:sz w:val="24"/>
          <w:highlight w:val="none"/>
        </w:rPr>
        <w:t>文件以及供应商所有与采购人及采购代理机构就磋商来往的文件、资料均使用中文。如果供应商提供有外文资料应附有相应的中文译本，并以中文译本为准。</w:t>
      </w:r>
    </w:p>
    <w:p w14:paraId="6CAB0C46">
      <w:pPr>
        <w:pStyle w:val="4"/>
        <w:tabs>
          <w:tab w:val="left" w:pos="900"/>
        </w:tabs>
        <w:spacing w:before="0" w:after="0" w:line="360" w:lineRule="auto"/>
        <w:rPr>
          <w:rFonts w:ascii="宋体" w:hAnsi="宋体" w:cs="宋体"/>
          <w:sz w:val="24"/>
          <w:szCs w:val="24"/>
          <w:highlight w:val="none"/>
        </w:rPr>
      </w:pPr>
      <w:bookmarkStart w:id="231" w:name="_Ref467306676"/>
      <w:bookmarkStart w:id="232" w:name="_Ref467306195"/>
      <w:bookmarkStart w:id="233" w:name="_Toc516367022"/>
      <w:bookmarkStart w:id="234" w:name="_Toc532473460"/>
      <w:bookmarkStart w:id="235" w:name="_Toc18573"/>
      <w:bookmarkStart w:id="236" w:name="_Toc17366"/>
      <w:bookmarkStart w:id="237" w:name="_Toc22437"/>
      <w:bookmarkStart w:id="238" w:name="_Toc28307"/>
      <w:bookmarkStart w:id="239" w:name="_Toc10364"/>
      <w:bookmarkStart w:id="240" w:name="_Toc520356152"/>
      <w:bookmarkStart w:id="241" w:name="_Toc515647768"/>
      <w:bookmarkStart w:id="242" w:name="_Toc15048299"/>
      <w:r>
        <w:rPr>
          <w:rFonts w:hint="eastAsia" w:ascii="宋体" w:hAnsi="宋体" w:cs="宋体"/>
          <w:sz w:val="24"/>
          <w:szCs w:val="24"/>
          <w:highlight w:val="none"/>
        </w:rPr>
        <w:t>3.2 响应文件</w:t>
      </w:r>
      <w:bookmarkEnd w:id="231"/>
      <w:bookmarkEnd w:id="232"/>
      <w:bookmarkEnd w:id="233"/>
      <w:r>
        <w:rPr>
          <w:rFonts w:hint="eastAsia" w:ascii="宋体" w:hAnsi="宋体" w:cs="宋体"/>
          <w:sz w:val="24"/>
          <w:szCs w:val="24"/>
          <w:highlight w:val="none"/>
        </w:rPr>
        <w:t>组成</w:t>
      </w:r>
      <w:bookmarkEnd w:id="234"/>
      <w:bookmarkEnd w:id="235"/>
      <w:bookmarkEnd w:id="236"/>
      <w:bookmarkEnd w:id="237"/>
      <w:bookmarkEnd w:id="238"/>
      <w:bookmarkEnd w:id="239"/>
      <w:bookmarkEnd w:id="240"/>
      <w:bookmarkEnd w:id="241"/>
      <w:bookmarkEnd w:id="242"/>
    </w:p>
    <w:p w14:paraId="0F869026">
      <w:pPr>
        <w:tabs>
          <w:tab w:val="left" w:pos="900"/>
          <w:tab w:val="left" w:pos="5580"/>
        </w:tabs>
        <w:spacing w:line="360" w:lineRule="auto"/>
        <w:ind w:left="720" w:hanging="720" w:hangingChars="300"/>
        <w:rPr>
          <w:rFonts w:ascii="宋体" w:hAnsi="宋体" w:cs="宋体"/>
          <w:sz w:val="24"/>
          <w:highlight w:val="none"/>
        </w:rPr>
      </w:pPr>
      <w:bookmarkStart w:id="243" w:name="_Ref467052588"/>
      <w:r>
        <w:rPr>
          <w:rFonts w:hint="eastAsia" w:ascii="宋体" w:hAnsi="宋体" w:cs="宋体"/>
          <w:sz w:val="24"/>
          <w:highlight w:val="none"/>
        </w:rPr>
        <w:t>3.2.1 响应文件由“第一部分，</w:t>
      </w:r>
      <w:bookmarkStart w:id="244" w:name="_Hlk57213062"/>
      <w:r>
        <w:rPr>
          <w:rFonts w:hint="eastAsia" w:ascii="宋体" w:hAnsi="宋体" w:cs="宋体"/>
          <w:sz w:val="24"/>
          <w:highlight w:val="none"/>
        </w:rPr>
        <w:t>报价一览表及资格证明文件</w:t>
      </w:r>
      <w:bookmarkEnd w:id="244"/>
      <w:r>
        <w:rPr>
          <w:rFonts w:hint="eastAsia" w:ascii="宋体" w:hAnsi="宋体" w:cs="宋体"/>
          <w:sz w:val="24"/>
          <w:highlight w:val="none"/>
        </w:rPr>
        <w:t>”和“第二部分，商务及技术文件”组成。供应商应完整地按照采购文件第“七章 响应文件格式”中提供的格式及要求编写响应文件，采购文件提供标准格式的按标准格式编制，未提供标准格式的可自行拟定。具体详见采购文件“第七章 响应文件格式”。响应文件中资格审查和符合性审查涉及的事项不满足采购文件要求的，其响应文件将被认定为</w:t>
      </w:r>
      <w:r>
        <w:rPr>
          <w:rFonts w:hint="eastAsia" w:ascii="宋体" w:hAnsi="宋体" w:cs="宋体"/>
          <w:b/>
          <w:sz w:val="24"/>
          <w:highlight w:val="none"/>
        </w:rPr>
        <w:t>无效响应文件</w:t>
      </w:r>
      <w:r>
        <w:rPr>
          <w:rFonts w:hint="eastAsia" w:ascii="宋体" w:hAnsi="宋体" w:cs="宋体"/>
          <w:sz w:val="24"/>
          <w:highlight w:val="none"/>
        </w:rPr>
        <w:t>。</w:t>
      </w:r>
    </w:p>
    <w:p w14:paraId="7C57B73A">
      <w:pPr>
        <w:adjustRightInd w:val="0"/>
        <w:snapToGrid w:val="0"/>
        <w:spacing w:line="360" w:lineRule="auto"/>
        <w:rPr>
          <w:rFonts w:ascii="宋体" w:hAnsi="宋体" w:cs="宋体"/>
          <w:sz w:val="24"/>
          <w:highlight w:val="none"/>
        </w:rPr>
      </w:pPr>
      <w:r>
        <w:rPr>
          <w:rFonts w:hint="eastAsia" w:ascii="宋体" w:hAnsi="宋体" w:cs="宋体"/>
          <w:sz w:val="24"/>
          <w:highlight w:val="none"/>
        </w:rPr>
        <w:t>3.2.2样品或演示要求详见供应商须知表及采购文件第三章、第五章中的相关要求。</w:t>
      </w:r>
    </w:p>
    <w:bookmarkEnd w:id="243"/>
    <w:p w14:paraId="28DB2CDB">
      <w:pPr>
        <w:pStyle w:val="4"/>
        <w:tabs>
          <w:tab w:val="left" w:pos="900"/>
        </w:tabs>
        <w:spacing w:before="0" w:after="0" w:line="360" w:lineRule="auto"/>
        <w:jc w:val="left"/>
        <w:rPr>
          <w:rFonts w:ascii="宋体" w:hAnsi="宋体" w:cs="宋体"/>
          <w:sz w:val="24"/>
          <w:szCs w:val="24"/>
          <w:highlight w:val="none"/>
        </w:rPr>
      </w:pPr>
      <w:bookmarkStart w:id="245" w:name="_Toc13513"/>
      <w:bookmarkStart w:id="246" w:name="_Toc15048300"/>
      <w:bookmarkStart w:id="247" w:name="_Toc27928"/>
      <w:bookmarkStart w:id="248" w:name="_Toc532473461"/>
      <w:bookmarkStart w:id="249" w:name="_Toc515647769"/>
      <w:bookmarkStart w:id="250" w:name="_Toc25429"/>
      <w:bookmarkStart w:id="251" w:name="_Toc520356153"/>
      <w:bookmarkStart w:id="252" w:name="_Toc10379"/>
      <w:bookmarkStart w:id="253" w:name="_Toc516367023"/>
      <w:bookmarkStart w:id="254" w:name="_Toc4601"/>
      <w:r>
        <w:rPr>
          <w:rFonts w:hint="eastAsia" w:ascii="宋体" w:hAnsi="宋体" w:cs="宋体"/>
          <w:sz w:val="24"/>
          <w:szCs w:val="24"/>
          <w:highlight w:val="none"/>
        </w:rPr>
        <w:t>3.3 供应商证明所提供标的合格性和符合采购文件规定的技术文件</w:t>
      </w:r>
      <w:bookmarkEnd w:id="245"/>
      <w:bookmarkEnd w:id="246"/>
      <w:bookmarkEnd w:id="247"/>
      <w:bookmarkEnd w:id="248"/>
      <w:bookmarkEnd w:id="249"/>
      <w:bookmarkEnd w:id="250"/>
      <w:bookmarkEnd w:id="251"/>
      <w:bookmarkEnd w:id="252"/>
      <w:bookmarkEnd w:id="253"/>
      <w:bookmarkEnd w:id="254"/>
    </w:p>
    <w:p w14:paraId="7AFD7B6F">
      <w:pPr>
        <w:spacing w:line="360" w:lineRule="auto"/>
        <w:ind w:left="720" w:hanging="720" w:hangingChars="300"/>
        <w:rPr>
          <w:rFonts w:ascii="宋体" w:hAnsi="宋体" w:cs="宋体"/>
          <w:sz w:val="24"/>
          <w:highlight w:val="none"/>
        </w:rPr>
      </w:pPr>
      <w:r>
        <w:rPr>
          <w:rFonts w:hint="eastAsia" w:ascii="宋体" w:hAnsi="宋体" w:cs="宋体"/>
          <w:sz w:val="24"/>
          <w:highlight w:val="none"/>
        </w:rPr>
        <w:t>3.3.1 供应商应按采购文件中的具体要求提交证明文件，证明所提供产品符合采购文件的规定。该证明文件是响应文件的技术文件。</w:t>
      </w:r>
    </w:p>
    <w:p w14:paraId="10994C56">
      <w:pPr>
        <w:spacing w:line="360" w:lineRule="auto"/>
        <w:rPr>
          <w:rFonts w:ascii="宋体" w:hAnsi="宋体" w:cs="宋体"/>
          <w:sz w:val="24"/>
          <w:highlight w:val="none"/>
        </w:rPr>
      </w:pPr>
      <w:bookmarkStart w:id="255" w:name="_Ref467306244"/>
      <w:r>
        <w:rPr>
          <w:rFonts w:hint="eastAsia" w:ascii="宋体" w:hAnsi="宋体" w:cs="宋体"/>
          <w:sz w:val="24"/>
          <w:highlight w:val="none"/>
        </w:rPr>
        <w:t>3.3.2 上款所述的证明文件，可以是文字资料、图纸和数据，</w:t>
      </w:r>
      <w:bookmarkEnd w:id="255"/>
      <w:r>
        <w:rPr>
          <w:rFonts w:hint="eastAsia" w:ascii="宋体" w:hAnsi="宋体" w:cs="宋体"/>
          <w:sz w:val="24"/>
          <w:highlight w:val="none"/>
        </w:rPr>
        <w:t>包括：</w:t>
      </w:r>
    </w:p>
    <w:p w14:paraId="0A6D576B">
      <w:pPr>
        <w:spacing w:line="360" w:lineRule="auto"/>
        <w:rPr>
          <w:rFonts w:ascii="宋体" w:hAnsi="宋体" w:cs="宋体"/>
          <w:sz w:val="24"/>
          <w:highlight w:val="none"/>
        </w:rPr>
      </w:pPr>
      <w:r>
        <w:rPr>
          <w:rFonts w:hint="eastAsia" w:ascii="宋体" w:hAnsi="宋体" w:cs="宋体"/>
          <w:sz w:val="24"/>
          <w:highlight w:val="none"/>
        </w:rPr>
        <w:t xml:space="preserve">3.3.2.1 </w:t>
      </w:r>
      <w:r>
        <w:rPr>
          <w:rFonts w:hint="eastAsia" w:ascii="宋体" w:hAnsi="宋体" w:cs="宋体"/>
          <w:b/>
          <w:bCs/>
          <w:sz w:val="24"/>
          <w:highlight w:val="none"/>
        </w:rPr>
        <w:t>产品</w:t>
      </w:r>
      <w:r>
        <w:rPr>
          <w:rFonts w:hint="eastAsia" w:ascii="宋体" w:hAnsi="宋体" w:cs="宋体"/>
          <w:sz w:val="24"/>
          <w:highlight w:val="none"/>
        </w:rPr>
        <w:t>主要技术指标和性能的详细说明；</w:t>
      </w:r>
    </w:p>
    <w:p w14:paraId="05A257CF">
      <w:pPr>
        <w:spacing w:line="360" w:lineRule="auto"/>
        <w:ind w:left="720" w:hanging="720" w:hangingChars="300"/>
        <w:rPr>
          <w:rFonts w:ascii="宋体" w:hAnsi="宋体" w:cs="宋体"/>
          <w:sz w:val="24"/>
          <w:highlight w:val="none"/>
        </w:rPr>
      </w:pPr>
      <w:r>
        <w:rPr>
          <w:rFonts w:hint="eastAsia" w:ascii="宋体" w:hAnsi="宋体" w:cs="宋体"/>
          <w:sz w:val="24"/>
          <w:highlight w:val="none"/>
        </w:rPr>
        <w:t>3.3.3 供应商应注意采购人在采购文件中指出的品牌、型号仅起说明作用，并没有任何倾向性或限制性。评审时不以上述品牌、型号作为评审因素判定其响应文件是否为有效的标准。提供其它品牌的供应商均可依法参加本项目的采购活动。</w:t>
      </w:r>
    </w:p>
    <w:p w14:paraId="79AF4197">
      <w:pPr>
        <w:spacing w:line="360" w:lineRule="auto"/>
        <w:rPr>
          <w:rFonts w:ascii="宋体" w:hAnsi="宋体" w:cs="宋体"/>
          <w:sz w:val="24"/>
          <w:highlight w:val="none"/>
        </w:rPr>
      </w:pPr>
      <w:bookmarkStart w:id="256" w:name="_Hlk57102979"/>
      <w:r>
        <w:rPr>
          <w:rFonts w:hint="eastAsia" w:ascii="宋体" w:hAnsi="宋体" w:cs="宋体"/>
          <w:sz w:val="24"/>
          <w:highlight w:val="none"/>
        </w:rPr>
        <w:t>3.3.4 若采购文件未明确要求提供相应技术证明文件的，供应商可不提供。</w:t>
      </w:r>
      <w:bookmarkEnd w:id="256"/>
    </w:p>
    <w:p w14:paraId="082F48F6">
      <w:pPr>
        <w:pStyle w:val="4"/>
        <w:spacing w:before="0" w:after="0" w:line="360" w:lineRule="auto"/>
        <w:rPr>
          <w:rFonts w:ascii="宋体" w:hAnsi="宋体" w:cs="宋体"/>
          <w:sz w:val="24"/>
          <w:szCs w:val="24"/>
          <w:highlight w:val="none"/>
        </w:rPr>
      </w:pPr>
      <w:bookmarkStart w:id="257" w:name="_Toc15048301"/>
      <w:bookmarkStart w:id="258" w:name="_Toc10420"/>
      <w:bookmarkStart w:id="259" w:name="_Toc23231"/>
      <w:bookmarkStart w:id="260" w:name="_Toc520356155"/>
      <w:bookmarkStart w:id="261" w:name="_Toc515647770"/>
      <w:bookmarkStart w:id="262" w:name="_Toc532473462"/>
      <w:bookmarkStart w:id="263" w:name="_Toc11669"/>
      <w:bookmarkStart w:id="264" w:name="_Toc2248"/>
      <w:bookmarkStart w:id="265" w:name="_Toc14089"/>
      <w:r>
        <w:rPr>
          <w:rFonts w:hint="eastAsia" w:ascii="宋体" w:hAnsi="宋体" w:cs="宋体"/>
          <w:sz w:val="24"/>
          <w:szCs w:val="24"/>
          <w:highlight w:val="none"/>
        </w:rPr>
        <w:t>3.4 响应报价</w:t>
      </w:r>
      <w:bookmarkEnd w:id="257"/>
      <w:bookmarkEnd w:id="258"/>
      <w:bookmarkEnd w:id="259"/>
      <w:bookmarkEnd w:id="260"/>
      <w:bookmarkEnd w:id="261"/>
      <w:bookmarkEnd w:id="262"/>
      <w:bookmarkEnd w:id="263"/>
      <w:bookmarkEnd w:id="264"/>
      <w:bookmarkEnd w:id="265"/>
    </w:p>
    <w:p w14:paraId="5D0BD73F">
      <w:pPr>
        <w:spacing w:line="360" w:lineRule="auto"/>
        <w:ind w:left="720" w:hanging="720" w:hangingChars="300"/>
        <w:rPr>
          <w:rFonts w:ascii="宋体" w:hAnsi="宋体" w:cs="宋体"/>
          <w:sz w:val="24"/>
          <w:highlight w:val="none"/>
        </w:rPr>
      </w:pPr>
      <w:bookmarkStart w:id="266" w:name="_Hlk56443665"/>
      <w:r>
        <w:rPr>
          <w:rFonts w:hint="eastAsia" w:ascii="宋体" w:hAnsi="宋体" w:cs="宋体"/>
          <w:sz w:val="24"/>
          <w:highlight w:val="none"/>
        </w:rPr>
        <w:t>3.4.1 供应商应以“包或标段”为基本单位进行响应及报价。供应商的报价（包括最后报价）应当包括满足所响应“包”或“标段”所应提供</w:t>
      </w:r>
      <w:r>
        <w:rPr>
          <w:rFonts w:hint="eastAsia" w:ascii="宋体" w:hAnsi="宋体" w:cs="宋体"/>
          <w:b/>
          <w:bCs/>
          <w:sz w:val="24"/>
          <w:highlight w:val="none"/>
        </w:rPr>
        <w:t>货物/服务的全部内容</w:t>
      </w:r>
      <w:r>
        <w:rPr>
          <w:rFonts w:hint="eastAsia" w:ascii="宋体" w:hAnsi="宋体" w:cs="宋体"/>
          <w:sz w:val="24"/>
          <w:highlight w:val="none"/>
        </w:rPr>
        <w:t>（除非在</w:t>
      </w:r>
      <w:r>
        <w:rPr>
          <w:rFonts w:hint="eastAsia" w:ascii="宋体" w:hAnsi="宋体" w:cs="宋体"/>
          <w:b/>
          <w:sz w:val="24"/>
          <w:highlight w:val="none"/>
          <w:u w:val="single"/>
        </w:rPr>
        <w:t>供应商须知前附表</w:t>
      </w:r>
      <w:r>
        <w:rPr>
          <w:rFonts w:hint="eastAsia" w:ascii="宋体" w:hAnsi="宋体" w:cs="宋体"/>
          <w:sz w:val="24"/>
          <w:highlight w:val="none"/>
        </w:rPr>
        <w:t>中另有规定）。所有报价均应以人民币报价。供应商的报价应遵守《中华人民共和国价格法》。</w:t>
      </w:r>
      <w:bookmarkEnd w:id="266"/>
    </w:p>
    <w:p w14:paraId="0F0217A7">
      <w:pPr>
        <w:spacing w:line="360" w:lineRule="auto"/>
        <w:ind w:left="720" w:hanging="720" w:hangingChars="300"/>
        <w:rPr>
          <w:rFonts w:ascii="宋体" w:hAnsi="宋体" w:cs="宋体"/>
          <w:sz w:val="24"/>
          <w:highlight w:val="none"/>
        </w:rPr>
      </w:pPr>
      <w:bookmarkStart w:id="267" w:name="_Hlk56443788"/>
      <w:r>
        <w:rPr>
          <w:rFonts w:hint="eastAsia" w:ascii="宋体" w:hAnsi="宋体" w:cs="宋体"/>
          <w:sz w:val="24"/>
          <w:highlight w:val="none"/>
        </w:rPr>
        <w:t>3.4.2 供应商应按照采购文件中所提供的“采购需求”、质量要求、采购预算等全部内容，结合本项目实际情况和供应商自身成本、市场行情等因素，自主报价，且不得高于采购人给定的预算价或最高限价，否则响应文件将被认定为无效响应文件。</w:t>
      </w:r>
    </w:p>
    <w:bookmarkEnd w:id="267"/>
    <w:p w14:paraId="026666F8">
      <w:pPr>
        <w:spacing w:line="360" w:lineRule="auto"/>
        <w:ind w:left="720" w:hanging="720" w:hangingChars="300"/>
        <w:rPr>
          <w:rFonts w:ascii="宋体" w:hAnsi="宋体" w:cs="宋体"/>
          <w:b/>
          <w:sz w:val="24"/>
          <w:highlight w:val="none"/>
        </w:rPr>
      </w:pPr>
      <w:bookmarkStart w:id="268" w:name="_Hlk56443824"/>
      <w:r>
        <w:rPr>
          <w:rFonts w:hint="eastAsia" w:ascii="宋体" w:hAnsi="宋体" w:cs="宋体"/>
          <w:sz w:val="24"/>
          <w:highlight w:val="none"/>
        </w:rPr>
        <w:t>3.4.3 供应商应当按照采购文件提供的报价表格式如实填写各项</w:t>
      </w:r>
      <w:r>
        <w:rPr>
          <w:rFonts w:hint="eastAsia" w:ascii="宋体" w:hAnsi="宋体" w:cs="宋体"/>
          <w:b/>
          <w:bCs/>
          <w:sz w:val="24"/>
          <w:highlight w:val="none"/>
        </w:rPr>
        <w:t>货物/服务</w:t>
      </w:r>
      <w:r>
        <w:rPr>
          <w:rFonts w:hint="eastAsia" w:ascii="宋体" w:hAnsi="宋体" w:cs="宋体"/>
          <w:sz w:val="24"/>
          <w:highlight w:val="none"/>
        </w:rPr>
        <w:t>的单价、分项总价和总报价。供应商应认真填报所有项目的单价和合价，响应文件中若有漏项、漏报，采购人视为供应商的报价在总报价中已经包括，风险由供应商自行承担，采购人将不再给予调整。供应商提交最后报价后，如果被确定为成交人，该供应商所报价格，在合同履行过程中是固定不变的，除因设计或是采购人原因引起的变更外，不予调整。供应商</w:t>
      </w:r>
      <w:r>
        <w:rPr>
          <w:rFonts w:hint="eastAsia" w:ascii="宋体" w:hAnsi="宋体" w:cs="宋体"/>
          <w:b/>
          <w:sz w:val="24"/>
          <w:highlight w:val="none"/>
        </w:rPr>
        <w:t>报价有算术错误的，其风险由供应商承担。</w:t>
      </w:r>
      <w:bookmarkEnd w:id="268"/>
    </w:p>
    <w:p w14:paraId="039CE568">
      <w:pPr>
        <w:spacing w:line="360" w:lineRule="auto"/>
        <w:ind w:left="720" w:hanging="720" w:hangingChars="300"/>
        <w:rPr>
          <w:rFonts w:ascii="宋体" w:hAnsi="宋体" w:cs="宋体"/>
          <w:sz w:val="24"/>
          <w:highlight w:val="none"/>
        </w:rPr>
      </w:pPr>
      <w:bookmarkStart w:id="269" w:name="_Hlk56443893"/>
      <w:r>
        <w:rPr>
          <w:rFonts w:hint="eastAsia" w:ascii="宋体" w:hAnsi="宋体" w:cs="宋体"/>
          <w:sz w:val="24"/>
          <w:highlight w:val="none"/>
        </w:rPr>
        <w:t>3.4.4 供应商的最后报价应当包括：</w:t>
      </w:r>
      <w:r>
        <w:rPr>
          <w:rFonts w:hint="eastAsia" w:ascii="宋体" w:hAnsi="宋体" w:cs="宋体"/>
          <w:b/>
          <w:bCs/>
          <w:sz w:val="24"/>
          <w:highlight w:val="none"/>
        </w:rPr>
        <w:t>所提供货物/服务</w:t>
      </w:r>
      <w:r>
        <w:rPr>
          <w:rFonts w:hint="eastAsia" w:ascii="宋体" w:hAnsi="宋体" w:cs="宋体"/>
          <w:sz w:val="24"/>
          <w:highlight w:val="none"/>
        </w:rPr>
        <w:t>（包括备品备件、专用工具等）和伴随服务需要缴纳的所有税费的价格（包括已在中国国内的进口货物完税后的仓库交货价、展室交货价或货架交货价），所提供货物的运输（含保险）、装卸、安装（如有）、调试、检验、技术服务、培训和采购文件要求提供的所有伴随服务、工程等费用及交付采购人使用前发生的其它费用。</w:t>
      </w:r>
    </w:p>
    <w:bookmarkEnd w:id="269"/>
    <w:p w14:paraId="1A920022">
      <w:pPr>
        <w:tabs>
          <w:tab w:val="left" w:pos="720"/>
        </w:tabs>
        <w:spacing w:line="360" w:lineRule="auto"/>
        <w:ind w:left="720" w:hanging="720" w:hangingChars="300"/>
        <w:rPr>
          <w:rFonts w:ascii="宋体" w:hAnsi="宋体" w:cs="宋体"/>
          <w:sz w:val="24"/>
          <w:highlight w:val="none"/>
        </w:rPr>
      </w:pPr>
      <w:bookmarkStart w:id="270" w:name="_Hlk56443945"/>
      <w:r>
        <w:rPr>
          <w:rFonts w:hint="eastAsia" w:ascii="宋体" w:hAnsi="宋体" w:cs="宋体"/>
          <w:snapToGrid w:val="0"/>
          <w:kern w:val="0"/>
          <w:sz w:val="24"/>
          <w:highlight w:val="none"/>
        </w:rPr>
        <w:t>3.4.5 除非采购文件另有规定，每一“包”或“标段”只允许有一个最后总报价，任何有选择的最后总报价或替代方案将导致响应文件无效。</w:t>
      </w:r>
    </w:p>
    <w:bookmarkEnd w:id="270"/>
    <w:p w14:paraId="38853C4F">
      <w:pPr>
        <w:spacing w:line="360" w:lineRule="auto"/>
        <w:ind w:left="720" w:hanging="720" w:hangingChars="300"/>
        <w:rPr>
          <w:rFonts w:ascii="宋体" w:hAnsi="宋体" w:cs="宋体"/>
          <w:sz w:val="24"/>
          <w:highlight w:val="none"/>
        </w:rPr>
      </w:pPr>
      <w:bookmarkStart w:id="271" w:name="_Hlk56443977"/>
      <w:r>
        <w:rPr>
          <w:rFonts w:hint="eastAsia" w:ascii="宋体" w:hAnsi="宋体" w:cs="宋体"/>
          <w:sz w:val="24"/>
          <w:highlight w:val="none"/>
        </w:rPr>
        <w:t>3.4.6 供应商在提交最后总报价后，不得以任何理由再对最后总报价予以修改，最后总报价在</w:t>
      </w:r>
      <w:bookmarkStart w:id="272" w:name="_Hlk57218161"/>
      <w:r>
        <w:rPr>
          <w:rFonts w:hint="eastAsia" w:ascii="宋体" w:hAnsi="宋体" w:cs="宋体"/>
          <w:sz w:val="24"/>
          <w:highlight w:val="none"/>
        </w:rPr>
        <w:t>响应文件</w:t>
      </w:r>
      <w:bookmarkEnd w:id="272"/>
      <w:r>
        <w:rPr>
          <w:rFonts w:hint="eastAsia" w:ascii="宋体" w:hAnsi="宋体" w:cs="宋体"/>
          <w:sz w:val="24"/>
          <w:highlight w:val="none"/>
        </w:rPr>
        <w:t>有效期内是固定的，除采购文件中约定的原因外，不能随意改变。</w:t>
      </w:r>
    </w:p>
    <w:p w14:paraId="26C7F7A9">
      <w:pPr>
        <w:spacing w:line="360" w:lineRule="auto"/>
        <w:ind w:left="720" w:hanging="720" w:hangingChars="300"/>
        <w:rPr>
          <w:rFonts w:ascii="宋体" w:hAnsi="宋体" w:cs="宋体"/>
          <w:sz w:val="24"/>
          <w:highlight w:val="none"/>
        </w:rPr>
      </w:pPr>
      <w:r>
        <w:rPr>
          <w:rFonts w:hint="eastAsia" w:ascii="宋体" w:hAnsi="宋体" w:cs="宋体"/>
          <w:sz w:val="24"/>
          <w:highlight w:val="none"/>
        </w:rPr>
        <w:t>3.4.7 供应商在报价时应考虑期间的物价上涨，政策性调整等诸多因素以及由此引起的费用变动并计入总报价（包含最后总报价）。</w:t>
      </w:r>
    </w:p>
    <w:p w14:paraId="1E4780FB">
      <w:pPr>
        <w:spacing w:line="360" w:lineRule="auto"/>
        <w:rPr>
          <w:rFonts w:ascii="宋体" w:hAnsi="宋体" w:cs="宋体"/>
          <w:sz w:val="24"/>
          <w:highlight w:val="none"/>
        </w:rPr>
      </w:pPr>
      <w:r>
        <w:rPr>
          <w:rFonts w:hint="eastAsia" w:ascii="宋体" w:hAnsi="宋体" w:cs="宋体"/>
          <w:sz w:val="24"/>
          <w:highlight w:val="none"/>
        </w:rPr>
        <w:t>3.4.8 采购人不接受具有附加条件的最后总报价或多个方案的最后总报价。</w:t>
      </w:r>
    </w:p>
    <w:p w14:paraId="7DA6E119">
      <w:pPr>
        <w:tabs>
          <w:tab w:val="left" w:pos="720"/>
        </w:tabs>
        <w:spacing w:line="360" w:lineRule="auto"/>
        <w:ind w:left="720" w:hanging="720" w:hangingChars="300"/>
        <w:rPr>
          <w:rFonts w:ascii="宋体" w:hAnsi="宋体" w:cs="宋体"/>
          <w:sz w:val="24"/>
          <w:highlight w:val="none"/>
        </w:rPr>
      </w:pPr>
      <w:r>
        <w:rPr>
          <w:rFonts w:hint="eastAsia" w:ascii="宋体" w:hAnsi="宋体" w:cs="宋体"/>
          <w:sz w:val="24"/>
          <w:highlight w:val="none"/>
        </w:rPr>
        <w:t>3.4.9 供应商的最后总报价应是</w:t>
      </w:r>
      <w:r>
        <w:rPr>
          <w:rFonts w:hint="eastAsia" w:ascii="宋体" w:hAnsi="宋体" w:cs="宋体"/>
          <w:sz w:val="24"/>
          <w:highlight w:val="none"/>
          <w:lang w:eastAsia="zh-CN"/>
        </w:rPr>
        <w:t>河南省生态环境厅</w:t>
      </w:r>
      <w:r>
        <w:rPr>
          <w:rFonts w:hint="eastAsia" w:ascii="宋体" w:hAnsi="宋体" w:cs="宋体"/>
          <w:sz w:val="24"/>
          <w:highlight w:val="none"/>
        </w:rPr>
        <w:t>（郑州市郑东新区学理路10号）交货（</w:t>
      </w:r>
      <w:r>
        <w:rPr>
          <w:rFonts w:hint="eastAsia" w:ascii="宋体" w:hAnsi="宋体" w:cs="宋体"/>
          <w:b/>
          <w:bCs/>
          <w:sz w:val="24"/>
          <w:highlight w:val="none"/>
        </w:rPr>
        <w:t>包括</w:t>
      </w:r>
      <w:r>
        <w:rPr>
          <w:rFonts w:hint="eastAsia" w:ascii="宋体" w:hAnsi="宋体" w:cs="宋体"/>
          <w:b/>
          <w:bCs/>
          <w:sz w:val="24"/>
          <w:highlight w:val="none"/>
          <w:lang w:eastAsia="zh-CN"/>
        </w:rPr>
        <w:t>货物或</w:t>
      </w:r>
      <w:r>
        <w:rPr>
          <w:rFonts w:hint="eastAsia" w:ascii="宋体" w:hAnsi="宋体" w:cs="宋体"/>
          <w:b/>
          <w:bCs/>
          <w:sz w:val="24"/>
          <w:highlight w:val="none"/>
        </w:rPr>
        <w:t>服务</w:t>
      </w:r>
      <w:r>
        <w:rPr>
          <w:rFonts w:hint="eastAsia" w:ascii="宋体" w:hAnsi="宋体" w:cs="宋体"/>
          <w:sz w:val="24"/>
          <w:highlight w:val="none"/>
        </w:rPr>
        <w:t>）的，包括交货前发生的各种税费、运费及保险费、运杂费、以及伴随的其它服务费总报价。</w:t>
      </w:r>
    </w:p>
    <w:p w14:paraId="340A964A">
      <w:pPr>
        <w:tabs>
          <w:tab w:val="left" w:pos="0"/>
        </w:tabs>
        <w:autoSpaceDE w:val="0"/>
        <w:autoSpaceDN w:val="0"/>
        <w:adjustRightInd w:val="0"/>
        <w:spacing w:before="100" w:after="100" w:line="360" w:lineRule="auto"/>
        <w:ind w:left="720" w:right="44" w:hanging="720" w:hangingChars="300"/>
        <w:jc w:val="left"/>
        <w:rPr>
          <w:rFonts w:ascii="宋体" w:hAnsi="宋体" w:cs="宋体"/>
          <w:sz w:val="24"/>
          <w:highlight w:val="none"/>
        </w:rPr>
      </w:pPr>
      <w:r>
        <w:rPr>
          <w:rFonts w:hint="eastAsia" w:ascii="宋体" w:hAnsi="宋体" w:cs="宋体"/>
          <w:kern w:val="0"/>
          <w:sz w:val="24"/>
          <w:szCs w:val="20"/>
          <w:highlight w:val="none"/>
        </w:rPr>
        <w:t xml:space="preserve">3.4.10 </w:t>
      </w:r>
      <w:r>
        <w:rPr>
          <w:rFonts w:hint="eastAsia" w:ascii="宋体" w:hAnsi="宋体" w:cs="宋体"/>
          <w:sz w:val="24"/>
          <w:highlight w:val="none"/>
        </w:rPr>
        <w:t>供应商的最后总报价应是</w:t>
      </w:r>
      <w:r>
        <w:rPr>
          <w:rFonts w:hint="eastAsia" w:ascii="宋体" w:hAnsi="宋体" w:cs="宋体"/>
          <w:kern w:val="0"/>
          <w:sz w:val="24"/>
          <w:szCs w:val="20"/>
          <w:highlight w:val="none"/>
        </w:rPr>
        <w:t>由供应商计算的完成采购文件中规定的全部工作内容所需一切费用的期望值。</w:t>
      </w:r>
      <w:bookmarkEnd w:id="271"/>
    </w:p>
    <w:p w14:paraId="6B116685">
      <w:pPr>
        <w:pStyle w:val="4"/>
        <w:spacing w:before="0" w:after="0" w:line="360" w:lineRule="auto"/>
        <w:rPr>
          <w:rFonts w:ascii="宋体" w:hAnsi="宋体" w:cs="宋体"/>
          <w:sz w:val="24"/>
          <w:szCs w:val="24"/>
          <w:highlight w:val="none"/>
        </w:rPr>
      </w:pPr>
      <w:bookmarkStart w:id="273" w:name="_Toc520356158"/>
      <w:bookmarkStart w:id="274" w:name="_Toc532473465"/>
      <w:bookmarkStart w:id="275" w:name="_Toc515647773"/>
      <w:bookmarkStart w:id="276" w:name="_Toc17074"/>
      <w:bookmarkStart w:id="277" w:name="_Toc493"/>
      <w:bookmarkStart w:id="278" w:name="_Toc19470"/>
      <w:bookmarkStart w:id="279" w:name="_Toc15048304"/>
      <w:bookmarkStart w:id="280" w:name="_Toc32483"/>
      <w:bookmarkStart w:id="281" w:name="_Toc5747"/>
      <w:r>
        <w:rPr>
          <w:rFonts w:hint="eastAsia" w:ascii="宋体" w:hAnsi="宋体" w:cs="宋体"/>
          <w:sz w:val="24"/>
          <w:szCs w:val="24"/>
          <w:highlight w:val="none"/>
        </w:rPr>
        <w:t>3.5 响应文件的</w:t>
      </w:r>
      <w:bookmarkEnd w:id="273"/>
      <w:bookmarkEnd w:id="274"/>
      <w:bookmarkEnd w:id="275"/>
      <w:bookmarkEnd w:id="276"/>
      <w:bookmarkEnd w:id="277"/>
      <w:r>
        <w:rPr>
          <w:rFonts w:hint="eastAsia" w:ascii="宋体" w:hAnsi="宋体" w:cs="宋体"/>
          <w:sz w:val="24"/>
          <w:szCs w:val="24"/>
          <w:highlight w:val="none"/>
        </w:rPr>
        <w:t>制作</w:t>
      </w:r>
      <w:bookmarkEnd w:id="278"/>
      <w:bookmarkEnd w:id="279"/>
      <w:bookmarkEnd w:id="280"/>
      <w:bookmarkEnd w:id="281"/>
    </w:p>
    <w:p w14:paraId="6C5B749E">
      <w:pPr>
        <w:tabs>
          <w:tab w:val="left" w:pos="720"/>
        </w:tabs>
        <w:spacing w:line="360" w:lineRule="auto"/>
        <w:ind w:left="720" w:hanging="720" w:hangingChars="300"/>
        <w:rPr>
          <w:rFonts w:ascii="宋体" w:hAnsi="宋体" w:cs="宋体"/>
          <w:sz w:val="24"/>
          <w:highlight w:val="none"/>
        </w:rPr>
      </w:pPr>
      <w:r>
        <w:rPr>
          <w:rFonts w:hint="eastAsia" w:ascii="宋体" w:hAnsi="宋体" w:cs="宋体"/>
          <w:sz w:val="24"/>
          <w:highlight w:val="none"/>
        </w:rPr>
        <w:t>3.5.1 供应商在制作电子响应文件时，按照河南省公共资源交易中心提供的“投标文件制作工具”制作电子响应文件。具体查询河南省公共资源交易中心网站主页→办事指南及下载专区。</w:t>
      </w:r>
    </w:p>
    <w:p w14:paraId="2C934B9F">
      <w:pPr>
        <w:spacing w:line="360" w:lineRule="auto"/>
        <w:ind w:left="720" w:hanging="720" w:hangingChars="300"/>
        <w:rPr>
          <w:rFonts w:ascii="宋体" w:hAnsi="宋体" w:cs="宋体"/>
          <w:b/>
          <w:bCs/>
          <w:sz w:val="24"/>
          <w:highlight w:val="none"/>
        </w:rPr>
      </w:pPr>
      <w:r>
        <w:rPr>
          <w:rFonts w:hint="eastAsia" w:ascii="宋体" w:hAnsi="宋体" w:cs="宋体"/>
          <w:sz w:val="24"/>
          <w:highlight w:val="none"/>
        </w:rPr>
        <w:t>3.5.2 响应文件格式所要求包含的全部资料应全部制作在响应文件内（格式中写明可以不提供的除外），严格按照本项目采购文件中提供的所有格式如实填写（不涉及的内容除外），不应存在漏项或缺项，否则将存在响应文件被拒绝的风险。</w:t>
      </w:r>
      <w:bookmarkStart w:id="282" w:name="_Hlk57213199"/>
      <w:r>
        <w:rPr>
          <w:rFonts w:hint="eastAsia" w:ascii="宋体" w:hAnsi="宋体" w:cs="宋体"/>
          <w:b/>
          <w:bCs/>
          <w:sz w:val="24"/>
          <w:highlight w:val="none"/>
          <w:u w:val="single"/>
        </w:rPr>
        <w:t>响应函（磋商函）及报价一览表，须严格按照格式编辑，并作为电子评审系统上传的依据。</w:t>
      </w:r>
      <w:bookmarkEnd w:id="282"/>
    </w:p>
    <w:p w14:paraId="11106014">
      <w:pPr>
        <w:spacing w:line="360" w:lineRule="auto"/>
        <w:ind w:left="720" w:hanging="720" w:hangingChars="300"/>
        <w:rPr>
          <w:rFonts w:ascii="宋体" w:hAnsi="宋体" w:cs="宋体"/>
          <w:sz w:val="24"/>
          <w:highlight w:val="none"/>
        </w:rPr>
      </w:pPr>
      <w:r>
        <w:rPr>
          <w:rFonts w:hint="eastAsia" w:ascii="宋体" w:hAnsi="宋体" w:cs="宋体"/>
          <w:sz w:val="24"/>
          <w:highlight w:val="none"/>
        </w:rPr>
        <w:t>3.5.3响应文件全部采用电子文档，除供应商须知前附表另有规定外，响应文件所附证书证件均为原件扫描件，并采用单位和个人数字证书，按磋商文件要求在相应位置加盖电子印章。由供应商的法定代表人（单位负责人）签字或加盖电子印章的，应附法定代表人（单位 负责人）身份证明，由代理人签字或加盖电子印章的，应附由法定代表人（单位负责人）签署的授权委托书。</w:t>
      </w:r>
    </w:p>
    <w:p w14:paraId="10003EB1">
      <w:pPr>
        <w:spacing w:line="360" w:lineRule="auto"/>
        <w:ind w:left="718" w:leftChars="342"/>
        <w:rPr>
          <w:rFonts w:ascii="宋体" w:hAnsi="宋体" w:cs="宋体"/>
          <w:sz w:val="24"/>
          <w:highlight w:val="none"/>
        </w:rPr>
      </w:pPr>
      <w:r>
        <w:rPr>
          <w:rFonts w:hint="eastAsia" w:ascii="宋体" w:hAnsi="宋体" w:cs="宋体"/>
          <w:sz w:val="24"/>
          <w:highlight w:val="none"/>
        </w:rPr>
        <w:t>响应文件签字或盖章要求：所有要求供应商加盖企业公章的地方都应用供应商单位的 CA 密匙盖电子签章；所有要求法定代表人（负责人）或其委托代理人（授权委托人）签字或盖章的地方都应用法定代表人（负责人）或其委托代理人（授权委托人）的CA密匙盖电子签章，如供应商的法定代表人（负责人）或委托代理人（授权委托人）未办理CA密匙的，供应商也可将法定代表人（负责人）或其委托代理人（授权委托人）签字或盖章的地方用法定代表人（负责人）或委托代理人（授权委托人）签字或盖章后的扫描图片替换到相应格式中。</w:t>
      </w:r>
    </w:p>
    <w:p w14:paraId="7B0F9B28">
      <w:pPr>
        <w:spacing w:line="360" w:lineRule="auto"/>
        <w:ind w:left="718" w:leftChars="342"/>
        <w:rPr>
          <w:rFonts w:ascii="宋体" w:hAnsi="宋体" w:cs="宋体"/>
          <w:sz w:val="24"/>
          <w:highlight w:val="none"/>
        </w:rPr>
      </w:pPr>
      <w:r>
        <w:rPr>
          <w:rFonts w:hint="eastAsia" w:ascii="宋体" w:hAnsi="宋体" w:cs="宋体"/>
          <w:sz w:val="24"/>
          <w:highlight w:val="none"/>
        </w:rPr>
        <w:t>关于采购文件“响应文件格式”及响应文件中的“签字或盖章”，供应商法定代表人（负责人）或委托代理人（授权委托人）无论何种形式的盖章或签字均可（包含直接用CA密匙电子签章或人工签字或盖章扫描上传或其他形式的个人电子盖章或签字）。</w:t>
      </w:r>
    </w:p>
    <w:p w14:paraId="61ED82E6">
      <w:pPr>
        <w:spacing w:line="360" w:lineRule="auto"/>
        <w:ind w:left="720" w:hanging="720" w:hangingChars="300"/>
        <w:rPr>
          <w:rFonts w:ascii="宋体" w:hAnsi="宋体" w:cs="宋体"/>
          <w:sz w:val="24"/>
          <w:highlight w:val="none"/>
        </w:rPr>
      </w:pPr>
      <w:r>
        <w:rPr>
          <w:rFonts w:hint="eastAsia" w:ascii="宋体" w:hAnsi="宋体" w:cs="宋体"/>
          <w:sz w:val="24"/>
          <w:highlight w:val="none"/>
        </w:rPr>
        <w:t>3.5.4 供应商须在响应</w:t>
      </w:r>
      <w:r>
        <w:rPr>
          <w:rFonts w:hint="eastAsia" w:ascii="宋体" w:hAnsi="宋体" w:cs="宋体"/>
          <w:kern w:val="0"/>
          <w:sz w:val="24"/>
          <w:highlight w:val="none"/>
          <w:lang w:val="zh-CN"/>
        </w:rPr>
        <w:t>文件提交截止时间</w:t>
      </w:r>
      <w:r>
        <w:rPr>
          <w:rFonts w:hint="eastAsia" w:ascii="宋体" w:hAnsi="宋体" w:cs="宋体"/>
          <w:sz w:val="24"/>
          <w:highlight w:val="none"/>
        </w:rPr>
        <w:t>前，制作、加密并上传响应文件。加密的电子响应文件,应在响应</w:t>
      </w:r>
      <w:r>
        <w:rPr>
          <w:rFonts w:hint="eastAsia" w:ascii="宋体" w:hAnsi="宋体" w:cs="宋体"/>
          <w:kern w:val="0"/>
          <w:sz w:val="24"/>
          <w:highlight w:val="none"/>
          <w:lang w:val="zh-CN"/>
        </w:rPr>
        <w:t>文件提交截止时间</w:t>
      </w:r>
      <w:r>
        <w:rPr>
          <w:rFonts w:hint="eastAsia" w:ascii="宋体" w:hAnsi="宋体" w:cs="宋体"/>
          <w:sz w:val="24"/>
          <w:highlight w:val="none"/>
        </w:rPr>
        <w:t>前通过“河南省公共资源交易中心（http://hnsggzyjy.henan.gov.cn/）”电子交易平台内上传并确保上传成功。</w:t>
      </w:r>
    </w:p>
    <w:p w14:paraId="1761D8ED">
      <w:pPr>
        <w:spacing w:line="360" w:lineRule="auto"/>
        <w:ind w:left="720" w:hanging="720" w:hangingChars="300"/>
        <w:rPr>
          <w:rFonts w:ascii="宋体" w:hAnsi="宋体" w:cs="宋体"/>
          <w:sz w:val="24"/>
          <w:highlight w:val="none"/>
        </w:rPr>
      </w:pPr>
      <w:bookmarkStart w:id="283" w:name="_Hlk56444404"/>
      <w:r>
        <w:rPr>
          <w:rFonts w:hint="eastAsia" w:ascii="宋体" w:hAnsi="宋体" w:cs="宋体"/>
          <w:sz w:val="24"/>
          <w:highlight w:val="none"/>
        </w:rPr>
        <w:t>3.5.5加密的电子响应文件为“河南省公共资源交易中心（http://hnsggzyjy.henan.gov.cn/）”网站提供的“投标文件制作工具”软件制作生成的加密版响应文件。</w:t>
      </w:r>
      <w:bookmarkEnd w:id="283"/>
    </w:p>
    <w:p w14:paraId="38F2BBDE">
      <w:pPr>
        <w:spacing w:line="360" w:lineRule="auto"/>
        <w:ind w:left="720" w:hanging="720" w:hangingChars="300"/>
        <w:rPr>
          <w:rFonts w:ascii="宋体" w:hAnsi="宋体" w:cs="宋体"/>
          <w:sz w:val="24"/>
          <w:highlight w:val="none"/>
        </w:rPr>
      </w:pPr>
      <w:bookmarkStart w:id="284" w:name="_Hlk57218246"/>
      <w:bookmarkStart w:id="285" w:name="_Hlk57213248"/>
      <w:r>
        <w:rPr>
          <w:rFonts w:hint="eastAsia" w:ascii="宋体" w:hAnsi="宋体" w:cs="宋体"/>
          <w:sz w:val="24"/>
          <w:highlight w:val="none"/>
        </w:rPr>
        <w:t>3.5.6 响应文件的修改：供应商如果对响应文件进行了修改，则应在修改处加盖企业（单位）的电子签章。</w:t>
      </w:r>
      <w:bookmarkEnd w:id="284"/>
    </w:p>
    <w:p w14:paraId="71377D8C">
      <w:pPr>
        <w:pStyle w:val="4"/>
        <w:spacing w:before="0" w:after="0" w:line="360" w:lineRule="auto"/>
        <w:rPr>
          <w:rFonts w:ascii="宋体" w:hAnsi="宋体" w:cs="宋体"/>
          <w:sz w:val="24"/>
          <w:szCs w:val="24"/>
          <w:highlight w:val="none"/>
        </w:rPr>
      </w:pPr>
      <w:bookmarkStart w:id="286" w:name="_Toc515647771"/>
      <w:bookmarkStart w:id="287" w:name="_Toc520356156"/>
      <w:bookmarkStart w:id="288" w:name="_Ref467306513"/>
      <w:bookmarkStart w:id="289" w:name="_Toc17788"/>
      <w:bookmarkStart w:id="290" w:name="_Toc22352"/>
      <w:bookmarkStart w:id="291" w:name="_Toc4406"/>
      <w:bookmarkStart w:id="292" w:name="_Toc15048302"/>
      <w:bookmarkStart w:id="293" w:name="_Toc532473463"/>
      <w:bookmarkStart w:id="294" w:name="_Toc27015"/>
      <w:bookmarkStart w:id="295" w:name="_Toc11514"/>
      <w:r>
        <w:rPr>
          <w:rFonts w:hint="eastAsia" w:ascii="宋体" w:hAnsi="宋体" w:cs="宋体"/>
          <w:sz w:val="24"/>
          <w:szCs w:val="24"/>
          <w:highlight w:val="none"/>
        </w:rPr>
        <w:t>3.6 磋商保证金</w:t>
      </w:r>
      <w:bookmarkEnd w:id="286"/>
      <w:bookmarkEnd w:id="287"/>
      <w:bookmarkEnd w:id="288"/>
      <w:bookmarkEnd w:id="289"/>
      <w:bookmarkEnd w:id="290"/>
      <w:bookmarkEnd w:id="291"/>
      <w:bookmarkEnd w:id="292"/>
      <w:bookmarkEnd w:id="293"/>
      <w:bookmarkEnd w:id="294"/>
      <w:bookmarkEnd w:id="295"/>
    </w:p>
    <w:p w14:paraId="092C25D1">
      <w:pPr>
        <w:spacing w:line="360" w:lineRule="auto"/>
        <w:ind w:firstLine="480" w:firstLineChars="200"/>
        <w:rPr>
          <w:rFonts w:ascii="宋体" w:hAnsi="宋体" w:cs="宋体"/>
          <w:sz w:val="24"/>
          <w:highlight w:val="none"/>
        </w:rPr>
      </w:pPr>
      <w:bookmarkStart w:id="296" w:name="_Ref467306302"/>
      <w:r>
        <w:rPr>
          <w:rFonts w:hint="eastAsia" w:ascii="宋体" w:hAnsi="宋体" w:cs="宋体"/>
          <w:sz w:val="24"/>
          <w:highlight w:val="none"/>
        </w:rPr>
        <w:t>参加本项目采购活动的供应商无需提交磋商保证金</w:t>
      </w:r>
      <w:bookmarkEnd w:id="296"/>
      <w:r>
        <w:rPr>
          <w:rFonts w:hint="eastAsia" w:ascii="宋体" w:hAnsi="宋体" w:cs="宋体"/>
          <w:sz w:val="24"/>
          <w:highlight w:val="none"/>
        </w:rPr>
        <w:t>。</w:t>
      </w:r>
    </w:p>
    <w:p w14:paraId="2F07F8EA">
      <w:pPr>
        <w:pStyle w:val="4"/>
        <w:spacing w:before="0" w:after="0" w:line="360" w:lineRule="auto"/>
        <w:rPr>
          <w:rFonts w:ascii="宋体" w:hAnsi="宋体" w:cs="宋体"/>
          <w:sz w:val="24"/>
          <w:szCs w:val="24"/>
          <w:highlight w:val="none"/>
        </w:rPr>
      </w:pPr>
      <w:bookmarkStart w:id="297" w:name="_Toc7261"/>
      <w:bookmarkStart w:id="298" w:name="_Toc532473464"/>
      <w:bookmarkStart w:id="299" w:name="_Toc15048303"/>
      <w:bookmarkStart w:id="300" w:name="_Toc32569"/>
      <w:bookmarkStart w:id="301" w:name="_Toc23429"/>
      <w:bookmarkStart w:id="302" w:name="_Toc515647772"/>
      <w:bookmarkStart w:id="303" w:name="_Toc27486"/>
      <w:bookmarkStart w:id="304" w:name="_Toc23590"/>
      <w:bookmarkStart w:id="305" w:name="_Toc520356157"/>
      <w:r>
        <w:rPr>
          <w:rFonts w:hint="eastAsia" w:ascii="宋体" w:hAnsi="宋体" w:cs="宋体"/>
          <w:sz w:val="24"/>
          <w:szCs w:val="24"/>
          <w:highlight w:val="none"/>
        </w:rPr>
        <w:t>3.7 响应文件有效期</w:t>
      </w:r>
      <w:bookmarkEnd w:id="297"/>
      <w:bookmarkEnd w:id="298"/>
      <w:bookmarkEnd w:id="299"/>
      <w:bookmarkEnd w:id="300"/>
      <w:bookmarkEnd w:id="301"/>
      <w:bookmarkEnd w:id="302"/>
      <w:bookmarkEnd w:id="303"/>
      <w:bookmarkEnd w:id="304"/>
      <w:bookmarkEnd w:id="305"/>
    </w:p>
    <w:p w14:paraId="347C117A">
      <w:pPr>
        <w:spacing w:line="360" w:lineRule="auto"/>
        <w:ind w:left="720" w:hanging="720" w:hangingChars="300"/>
        <w:rPr>
          <w:rFonts w:ascii="宋体" w:hAnsi="宋体" w:cs="宋体"/>
          <w:sz w:val="24"/>
          <w:highlight w:val="none"/>
        </w:rPr>
      </w:pPr>
      <w:r>
        <w:rPr>
          <w:rFonts w:hint="eastAsia" w:ascii="宋体" w:hAnsi="宋体" w:cs="宋体"/>
          <w:sz w:val="24"/>
          <w:highlight w:val="none"/>
        </w:rPr>
        <w:t>3.7.1 响应文件应在</w:t>
      </w:r>
      <w:r>
        <w:rPr>
          <w:rFonts w:hint="eastAsia" w:ascii="宋体" w:hAnsi="宋体" w:cs="宋体"/>
          <w:b/>
          <w:sz w:val="24"/>
          <w:highlight w:val="none"/>
          <w:u w:val="single"/>
        </w:rPr>
        <w:t>供应商须知前附表</w:t>
      </w:r>
      <w:r>
        <w:rPr>
          <w:rFonts w:hint="eastAsia" w:ascii="宋体" w:hAnsi="宋体" w:cs="宋体"/>
          <w:sz w:val="24"/>
          <w:highlight w:val="none"/>
        </w:rPr>
        <w:t>中规定时间内保持有效。响应文件有效期不满足要求的响应文件，将被认定为</w:t>
      </w:r>
      <w:r>
        <w:rPr>
          <w:rFonts w:hint="eastAsia" w:ascii="宋体" w:hAnsi="宋体" w:cs="宋体"/>
          <w:b/>
          <w:bCs/>
          <w:sz w:val="24"/>
          <w:highlight w:val="none"/>
        </w:rPr>
        <w:t>无效响应文件</w:t>
      </w:r>
      <w:r>
        <w:rPr>
          <w:rFonts w:hint="eastAsia" w:ascii="宋体" w:hAnsi="宋体" w:cs="宋体"/>
          <w:sz w:val="24"/>
          <w:highlight w:val="none"/>
        </w:rPr>
        <w:t>。</w:t>
      </w:r>
    </w:p>
    <w:p w14:paraId="4C94B15E">
      <w:pPr>
        <w:spacing w:line="360" w:lineRule="auto"/>
        <w:ind w:left="720" w:hanging="720" w:hangingChars="300"/>
        <w:rPr>
          <w:rFonts w:ascii="宋体" w:hAnsi="宋体" w:cs="宋体"/>
          <w:sz w:val="24"/>
          <w:highlight w:val="none"/>
        </w:rPr>
      </w:pPr>
      <w:r>
        <w:rPr>
          <w:rFonts w:hint="eastAsia" w:ascii="宋体" w:hAnsi="宋体" w:cs="宋体"/>
          <w:sz w:val="24"/>
          <w:highlight w:val="none"/>
        </w:rPr>
        <w:t>3.7.2 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bookmarkEnd w:id="285"/>
    <w:p w14:paraId="455989B2">
      <w:pPr>
        <w:pStyle w:val="2"/>
        <w:spacing w:before="0" w:after="0" w:line="360" w:lineRule="auto"/>
        <w:rPr>
          <w:rFonts w:ascii="宋体" w:hAnsi="宋体" w:eastAsia="宋体" w:cs="宋体"/>
          <w:sz w:val="24"/>
          <w:highlight w:val="none"/>
        </w:rPr>
      </w:pPr>
      <w:bookmarkStart w:id="306" w:name="_Toc216582808"/>
      <w:bookmarkStart w:id="307" w:name="_Toc16455"/>
      <w:bookmarkStart w:id="308" w:name="_Toc520356159"/>
      <w:bookmarkStart w:id="309" w:name="_Toc532473466"/>
      <w:bookmarkStart w:id="310" w:name="_Toc31731"/>
      <w:bookmarkStart w:id="311" w:name="_Toc3184"/>
      <w:bookmarkStart w:id="312" w:name="_Toc515647774"/>
      <w:bookmarkStart w:id="313" w:name="_Toc11179"/>
      <w:bookmarkStart w:id="314" w:name="_Toc15048305"/>
      <w:bookmarkStart w:id="315" w:name="_Toc16865"/>
      <w:r>
        <w:rPr>
          <w:rFonts w:hint="eastAsia" w:ascii="宋体" w:hAnsi="宋体" w:eastAsia="宋体" w:cs="宋体"/>
          <w:sz w:val="24"/>
          <w:highlight w:val="none"/>
        </w:rPr>
        <w:t>4、响应文件的提交</w:t>
      </w:r>
      <w:bookmarkEnd w:id="306"/>
      <w:bookmarkEnd w:id="307"/>
      <w:bookmarkEnd w:id="308"/>
      <w:bookmarkEnd w:id="309"/>
      <w:bookmarkEnd w:id="310"/>
      <w:bookmarkEnd w:id="311"/>
      <w:bookmarkEnd w:id="312"/>
      <w:bookmarkEnd w:id="313"/>
      <w:bookmarkEnd w:id="314"/>
      <w:bookmarkEnd w:id="315"/>
    </w:p>
    <w:p w14:paraId="05270DC1">
      <w:pPr>
        <w:pStyle w:val="4"/>
        <w:spacing w:before="0" w:after="0" w:line="360" w:lineRule="auto"/>
        <w:rPr>
          <w:rFonts w:ascii="宋体" w:hAnsi="宋体" w:cs="宋体"/>
          <w:sz w:val="24"/>
          <w:szCs w:val="24"/>
          <w:highlight w:val="none"/>
        </w:rPr>
      </w:pPr>
      <w:bookmarkStart w:id="316" w:name="_Toc32337"/>
      <w:bookmarkStart w:id="317" w:name="_Toc520356160"/>
      <w:bookmarkStart w:id="318" w:name="_Toc515647775"/>
      <w:bookmarkStart w:id="319" w:name="_Toc11765"/>
      <w:bookmarkStart w:id="320" w:name="_Toc15048306"/>
      <w:bookmarkStart w:id="321" w:name="_Toc21645"/>
      <w:bookmarkStart w:id="322" w:name="_Toc17593"/>
      <w:bookmarkStart w:id="323" w:name="_Toc532473467"/>
      <w:bookmarkStart w:id="324" w:name="_Toc21257"/>
      <w:r>
        <w:rPr>
          <w:rFonts w:hint="eastAsia" w:ascii="宋体" w:hAnsi="宋体" w:cs="宋体"/>
          <w:sz w:val="24"/>
          <w:szCs w:val="24"/>
          <w:highlight w:val="none"/>
        </w:rPr>
        <w:t>4.1 响应文件的密封和标记</w:t>
      </w:r>
      <w:bookmarkEnd w:id="316"/>
      <w:bookmarkEnd w:id="317"/>
      <w:bookmarkEnd w:id="318"/>
      <w:bookmarkEnd w:id="319"/>
      <w:bookmarkEnd w:id="320"/>
      <w:bookmarkEnd w:id="321"/>
      <w:bookmarkEnd w:id="322"/>
      <w:bookmarkEnd w:id="323"/>
      <w:bookmarkEnd w:id="324"/>
    </w:p>
    <w:p w14:paraId="7CB8B3CD">
      <w:pPr>
        <w:spacing w:line="360" w:lineRule="auto"/>
        <w:ind w:left="720" w:hanging="720" w:hangingChars="300"/>
        <w:rPr>
          <w:rFonts w:ascii="宋体" w:hAnsi="宋体" w:cs="宋体"/>
          <w:sz w:val="24"/>
          <w:highlight w:val="none"/>
        </w:rPr>
      </w:pPr>
      <w:r>
        <w:rPr>
          <w:rFonts w:hint="eastAsia" w:ascii="宋体" w:hAnsi="宋体" w:cs="宋体"/>
          <w:sz w:val="24"/>
          <w:highlight w:val="none"/>
        </w:rPr>
        <w:t>4.1.1 因采用全程不见面磋商、评审方式，故电子响应文件按本采购文件第4.2.2条要求加密上传到指定平台。</w:t>
      </w:r>
    </w:p>
    <w:p w14:paraId="1EB72B93">
      <w:pPr>
        <w:pStyle w:val="4"/>
        <w:spacing w:before="0" w:after="0" w:line="360" w:lineRule="auto"/>
        <w:rPr>
          <w:rFonts w:ascii="宋体" w:hAnsi="宋体" w:cs="宋体"/>
          <w:sz w:val="24"/>
          <w:szCs w:val="24"/>
          <w:highlight w:val="none"/>
        </w:rPr>
      </w:pPr>
      <w:bookmarkStart w:id="325" w:name="_Toc532473468"/>
      <w:bookmarkStart w:id="326" w:name="_Toc12751"/>
      <w:bookmarkStart w:id="327" w:name="_Toc520356161"/>
      <w:bookmarkStart w:id="328" w:name="_Toc9840"/>
      <w:bookmarkStart w:id="329" w:name="_Toc15048307"/>
      <w:bookmarkStart w:id="330" w:name="_Toc515647776"/>
      <w:bookmarkStart w:id="331" w:name="_Toc13955"/>
      <w:bookmarkStart w:id="332" w:name="_Toc9703"/>
      <w:bookmarkStart w:id="333" w:name="_Toc16729"/>
      <w:r>
        <w:rPr>
          <w:rFonts w:hint="eastAsia" w:ascii="宋体" w:hAnsi="宋体" w:cs="宋体"/>
          <w:sz w:val="24"/>
          <w:szCs w:val="24"/>
          <w:highlight w:val="none"/>
        </w:rPr>
        <w:t>4.2 响应文件提交截止</w:t>
      </w:r>
      <w:bookmarkEnd w:id="325"/>
      <w:bookmarkEnd w:id="326"/>
      <w:bookmarkEnd w:id="327"/>
      <w:bookmarkEnd w:id="328"/>
      <w:bookmarkEnd w:id="329"/>
      <w:bookmarkEnd w:id="330"/>
      <w:r>
        <w:rPr>
          <w:rFonts w:hint="eastAsia" w:ascii="宋体" w:hAnsi="宋体" w:cs="宋体"/>
          <w:sz w:val="24"/>
          <w:szCs w:val="24"/>
          <w:highlight w:val="none"/>
        </w:rPr>
        <w:t>时间</w:t>
      </w:r>
      <w:bookmarkEnd w:id="331"/>
      <w:bookmarkEnd w:id="332"/>
      <w:bookmarkEnd w:id="333"/>
    </w:p>
    <w:p w14:paraId="15E0A0B3">
      <w:pPr>
        <w:tabs>
          <w:tab w:val="left" w:pos="360"/>
          <w:tab w:val="left" w:pos="720"/>
          <w:tab w:val="left" w:pos="1185"/>
        </w:tabs>
        <w:spacing w:line="360" w:lineRule="auto"/>
        <w:rPr>
          <w:rFonts w:ascii="宋体" w:hAnsi="宋体" w:cs="宋体"/>
          <w:sz w:val="24"/>
          <w:highlight w:val="none"/>
        </w:rPr>
      </w:pPr>
      <w:r>
        <w:rPr>
          <w:rFonts w:hint="eastAsia" w:ascii="宋体" w:hAnsi="宋体" w:cs="宋体"/>
          <w:sz w:val="24"/>
          <w:highlight w:val="none"/>
        </w:rPr>
        <w:t>4.2.1 响应文件提交截止时间</w:t>
      </w:r>
      <w:r>
        <w:rPr>
          <w:rFonts w:hint="eastAsia" w:ascii="宋体" w:hAnsi="宋体" w:cs="宋体"/>
          <w:b/>
          <w:sz w:val="24"/>
          <w:highlight w:val="none"/>
          <w:u w:val="single"/>
        </w:rPr>
        <w:t>见供应商须知前附表</w:t>
      </w:r>
      <w:r>
        <w:rPr>
          <w:rFonts w:hint="eastAsia" w:ascii="宋体" w:hAnsi="宋体" w:cs="宋体"/>
          <w:sz w:val="24"/>
          <w:highlight w:val="none"/>
        </w:rPr>
        <w:t>。</w:t>
      </w:r>
    </w:p>
    <w:p w14:paraId="2168AF9C">
      <w:pPr>
        <w:tabs>
          <w:tab w:val="left" w:pos="360"/>
          <w:tab w:val="left" w:pos="720"/>
          <w:tab w:val="left" w:pos="1185"/>
        </w:tabs>
        <w:spacing w:line="360" w:lineRule="auto"/>
        <w:ind w:left="720" w:hanging="720" w:hangingChars="300"/>
        <w:rPr>
          <w:rFonts w:ascii="宋体" w:hAnsi="宋体" w:cs="宋体"/>
          <w:sz w:val="24"/>
          <w:highlight w:val="none"/>
        </w:rPr>
      </w:pPr>
      <w:r>
        <w:rPr>
          <w:rFonts w:hint="eastAsia" w:ascii="宋体" w:hAnsi="宋体" w:cs="宋体"/>
          <w:sz w:val="24"/>
          <w:highlight w:val="none"/>
        </w:rPr>
        <w:t>4.2.2 加密的电子响应文件应在响应文件提交截止时间前通过“河南省公共资源交易中心（http://hnsggzyjy.henan.gov.cn/）”电子交易平台上传，并成功上传。</w:t>
      </w:r>
    </w:p>
    <w:p w14:paraId="488F10E1">
      <w:pPr>
        <w:tabs>
          <w:tab w:val="left" w:pos="360"/>
          <w:tab w:val="left" w:pos="720"/>
          <w:tab w:val="left" w:pos="1185"/>
        </w:tabs>
        <w:spacing w:line="360" w:lineRule="auto"/>
        <w:ind w:left="720" w:hanging="720" w:hangingChars="300"/>
        <w:rPr>
          <w:rFonts w:ascii="宋体" w:hAnsi="宋体" w:cs="宋体"/>
          <w:sz w:val="24"/>
          <w:highlight w:val="none"/>
        </w:rPr>
      </w:pPr>
      <w:r>
        <w:rPr>
          <w:rFonts w:hint="eastAsia" w:ascii="宋体" w:hAnsi="宋体" w:cs="宋体"/>
          <w:sz w:val="24"/>
          <w:highlight w:val="none"/>
        </w:rPr>
        <w:t>4.2.3 采购人和采购代理机构可以按本章第2.2.2条、2.4条的规定，通过修改采购文件自行决定是否酌情延长响应文件提交截止时间的期限。</w:t>
      </w:r>
      <w:bookmarkStart w:id="334" w:name="_Hlk57213292"/>
      <w:r>
        <w:rPr>
          <w:rFonts w:hint="eastAsia" w:ascii="宋体" w:hAnsi="宋体" w:cs="宋体"/>
          <w:sz w:val="24"/>
          <w:highlight w:val="none"/>
        </w:rPr>
        <w:t>如果采购人和采购代理机构延长了响应文件提交截止时间的期限，供应商提交响应文件的截止时间则以延长后的时间为准。</w:t>
      </w:r>
      <w:bookmarkEnd w:id="334"/>
    </w:p>
    <w:p w14:paraId="1BA6E320">
      <w:pPr>
        <w:tabs>
          <w:tab w:val="left" w:pos="360"/>
          <w:tab w:val="left" w:pos="720"/>
          <w:tab w:val="left" w:pos="1185"/>
        </w:tabs>
        <w:spacing w:line="360" w:lineRule="auto"/>
        <w:rPr>
          <w:rFonts w:ascii="宋体" w:hAnsi="宋体" w:cs="宋体"/>
          <w:sz w:val="24"/>
          <w:highlight w:val="none"/>
        </w:rPr>
      </w:pPr>
      <w:r>
        <w:rPr>
          <w:rFonts w:hint="eastAsia" w:ascii="宋体" w:hAnsi="宋体" w:cs="宋体"/>
          <w:b/>
          <w:bCs/>
          <w:sz w:val="24"/>
          <w:highlight w:val="none"/>
        </w:rPr>
        <w:t>4.2.4 迟交的响应文件</w:t>
      </w:r>
    </w:p>
    <w:p w14:paraId="4865D77C">
      <w:pPr>
        <w:tabs>
          <w:tab w:val="left" w:pos="360"/>
          <w:tab w:val="left" w:pos="720"/>
          <w:tab w:val="left" w:pos="1185"/>
        </w:tabs>
        <w:spacing w:line="360" w:lineRule="auto"/>
        <w:ind w:firstLine="480" w:firstLineChars="200"/>
        <w:rPr>
          <w:rFonts w:ascii="宋体" w:hAnsi="宋体" w:cs="宋体"/>
          <w:sz w:val="24"/>
          <w:highlight w:val="none"/>
        </w:rPr>
      </w:pPr>
      <w:r>
        <w:rPr>
          <w:rFonts w:hint="eastAsia" w:ascii="宋体" w:hAnsi="宋体" w:cs="宋体"/>
          <w:sz w:val="24"/>
          <w:highlight w:val="none"/>
        </w:rPr>
        <w:t>采购人和采购代理机构将拒绝在规定的时间内未上传、未解密的响应文件。</w:t>
      </w:r>
    </w:p>
    <w:p w14:paraId="1E746410">
      <w:pPr>
        <w:pStyle w:val="4"/>
        <w:spacing w:before="0" w:after="0" w:line="360" w:lineRule="auto"/>
        <w:rPr>
          <w:rFonts w:ascii="宋体" w:hAnsi="宋体" w:cs="宋体"/>
          <w:sz w:val="24"/>
          <w:szCs w:val="24"/>
          <w:highlight w:val="none"/>
        </w:rPr>
      </w:pPr>
      <w:bookmarkStart w:id="335" w:name="_Toc24275"/>
      <w:bookmarkStart w:id="336" w:name="_Toc10370"/>
      <w:bookmarkStart w:id="337" w:name="_Toc515647777"/>
      <w:bookmarkStart w:id="338" w:name="_Toc532473469"/>
      <w:bookmarkStart w:id="339" w:name="_Toc1443"/>
      <w:bookmarkStart w:id="340" w:name="_Toc13495"/>
      <w:bookmarkStart w:id="341" w:name="_Toc15048308"/>
      <w:bookmarkStart w:id="342" w:name="_Toc520356162"/>
      <w:bookmarkStart w:id="343" w:name="_Toc18537"/>
      <w:r>
        <w:rPr>
          <w:rFonts w:hint="eastAsia" w:ascii="宋体" w:hAnsi="宋体" w:cs="宋体"/>
          <w:sz w:val="24"/>
          <w:szCs w:val="24"/>
          <w:highlight w:val="none"/>
        </w:rPr>
        <w:t>4.3 响应文件的提交、修改与撤回</w:t>
      </w:r>
      <w:bookmarkEnd w:id="335"/>
      <w:bookmarkEnd w:id="336"/>
      <w:bookmarkEnd w:id="337"/>
      <w:bookmarkEnd w:id="338"/>
      <w:bookmarkEnd w:id="339"/>
      <w:bookmarkEnd w:id="340"/>
      <w:bookmarkEnd w:id="341"/>
      <w:bookmarkEnd w:id="342"/>
      <w:bookmarkEnd w:id="343"/>
    </w:p>
    <w:p w14:paraId="5374D0FA">
      <w:pPr>
        <w:tabs>
          <w:tab w:val="left" w:pos="360"/>
          <w:tab w:val="left" w:pos="720"/>
        </w:tabs>
        <w:spacing w:line="360" w:lineRule="auto"/>
        <w:rPr>
          <w:rFonts w:ascii="宋体" w:hAnsi="宋体" w:cs="宋体"/>
          <w:b/>
          <w:bCs/>
          <w:sz w:val="24"/>
          <w:highlight w:val="none"/>
        </w:rPr>
      </w:pPr>
      <w:r>
        <w:rPr>
          <w:rFonts w:hint="eastAsia" w:ascii="宋体" w:hAnsi="宋体" w:cs="宋体"/>
          <w:b/>
          <w:bCs/>
          <w:sz w:val="24"/>
          <w:highlight w:val="none"/>
        </w:rPr>
        <w:t>4.3.1 响应文件的提交</w:t>
      </w:r>
    </w:p>
    <w:p w14:paraId="238BDB85">
      <w:pPr>
        <w:spacing w:line="360" w:lineRule="auto"/>
        <w:ind w:left="960" w:hanging="960" w:hangingChars="400"/>
        <w:rPr>
          <w:rFonts w:ascii="宋体" w:hAnsi="宋体" w:cs="宋体"/>
          <w:sz w:val="24"/>
          <w:highlight w:val="none"/>
        </w:rPr>
      </w:pPr>
      <w:r>
        <w:rPr>
          <w:rFonts w:hint="eastAsia" w:ascii="宋体" w:hAnsi="宋体" w:cs="宋体"/>
          <w:sz w:val="24"/>
          <w:highlight w:val="none"/>
        </w:rPr>
        <w:t>4.3.1.1 供应商应在响应文件提交截止时间前上传加密的电子响应文件到河南省公共资源交易中心系统的指定位置。请供应商在上传时认真检查上传的响应文件是否完整、正确。</w:t>
      </w:r>
    </w:p>
    <w:p w14:paraId="77683E29">
      <w:pPr>
        <w:spacing w:line="360" w:lineRule="auto"/>
        <w:ind w:left="960" w:hanging="960" w:hangingChars="400"/>
        <w:rPr>
          <w:rFonts w:ascii="宋体" w:hAnsi="宋体" w:cs="宋体"/>
          <w:sz w:val="24"/>
          <w:highlight w:val="none"/>
        </w:rPr>
      </w:pPr>
      <w:r>
        <w:rPr>
          <w:rFonts w:hint="eastAsia" w:ascii="宋体" w:hAnsi="宋体" w:cs="宋体"/>
          <w:sz w:val="24"/>
          <w:highlight w:val="none"/>
        </w:rPr>
        <w:t>4.3.1.2 供应商因交易中心投标系统问题无法上传电子响应文件时，请在工作时间与河南省公共资源交易中心联系。</w:t>
      </w:r>
    </w:p>
    <w:p w14:paraId="71B7428D">
      <w:pPr>
        <w:tabs>
          <w:tab w:val="left" w:pos="360"/>
          <w:tab w:val="left" w:pos="720"/>
        </w:tabs>
        <w:spacing w:line="360" w:lineRule="auto"/>
        <w:rPr>
          <w:rFonts w:ascii="宋体" w:hAnsi="宋体" w:cs="宋体"/>
          <w:b/>
          <w:bCs/>
          <w:sz w:val="24"/>
          <w:highlight w:val="none"/>
        </w:rPr>
      </w:pPr>
      <w:r>
        <w:rPr>
          <w:rFonts w:hint="eastAsia" w:ascii="宋体" w:hAnsi="宋体" w:cs="宋体"/>
          <w:b/>
          <w:bCs/>
          <w:sz w:val="24"/>
          <w:highlight w:val="none"/>
        </w:rPr>
        <w:t>4.3.2 响应文件的修改和撤回</w:t>
      </w:r>
    </w:p>
    <w:p w14:paraId="28AEF110">
      <w:pPr>
        <w:spacing w:line="360" w:lineRule="auto"/>
        <w:ind w:left="960" w:hanging="960" w:hangingChars="400"/>
        <w:rPr>
          <w:rFonts w:ascii="宋体" w:hAnsi="宋体" w:cs="宋体"/>
          <w:sz w:val="24"/>
          <w:highlight w:val="none"/>
        </w:rPr>
      </w:pPr>
      <w:r>
        <w:rPr>
          <w:rFonts w:hint="eastAsia" w:ascii="宋体" w:hAnsi="宋体" w:cs="宋体"/>
          <w:sz w:val="24"/>
          <w:highlight w:val="none"/>
        </w:rPr>
        <w:t>4.3.2.1 供应商在提交响应文件后，在响应文件提交截止时间之前可以修改或撤回其响应文件。</w:t>
      </w:r>
    </w:p>
    <w:p w14:paraId="2A89DA78">
      <w:pPr>
        <w:spacing w:line="360" w:lineRule="auto"/>
        <w:ind w:left="960" w:hanging="960" w:hangingChars="400"/>
        <w:rPr>
          <w:rFonts w:ascii="宋体" w:hAnsi="宋体" w:cs="宋体"/>
          <w:sz w:val="24"/>
          <w:highlight w:val="none"/>
        </w:rPr>
      </w:pPr>
      <w:bookmarkStart w:id="344" w:name="_Hlk57218343"/>
      <w:r>
        <w:rPr>
          <w:rFonts w:hint="eastAsia" w:ascii="宋体" w:hAnsi="宋体" w:cs="宋体"/>
          <w:sz w:val="24"/>
          <w:highlight w:val="none"/>
        </w:rPr>
        <w:t>4.3.2.2 供应商在提交了最后报价之后至供应商在响应文件中载明的响应文件有效期满期间，供应商不得撤回</w:t>
      </w:r>
      <w:bookmarkStart w:id="345" w:name="_Hlk57213726"/>
      <w:r>
        <w:rPr>
          <w:rFonts w:hint="eastAsia" w:ascii="宋体" w:hAnsi="宋体" w:cs="宋体"/>
          <w:sz w:val="24"/>
          <w:highlight w:val="none"/>
        </w:rPr>
        <w:t>（撤销）</w:t>
      </w:r>
      <w:bookmarkEnd w:id="345"/>
      <w:r>
        <w:rPr>
          <w:rFonts w:hint="eastAsia" w:ascii="宋体" w:hAnsi="宋体" w:cs="宋体"/>
          <w:sz w:val="24"/>
          <w:highlight w:val="none"/>
        </w:rPr>
        <w:t>其响应文件，否则应当向采购代理机构及采购人分别支付本项目预算金额（或最高限价）2%的违约赔偿金。</w:t>
      </w:r>
      <w:bookmarkEnd w:id="344"/>
    </w:p>
    <w:p w14:paraId="41FD2BDE">
      <w:pPr>
        <w:pStyle w:val="2"/>
        <w:spacing w:before="0" w:after="0" w:line="360" w:lineRule="auto"/>
        <w:rPr>
          <w:rFonts w:ascii="宋体" w:hAnsi="宋体" w:eastAsia="宋体" w:cs="宋体"/>
          <w:sz w:val="24"/>
          <w:highlight w:val="none"/>
        </w:rPr>
      </w:pPr>
      <w:bookmarkStart w:id="346" w:name="_Toc12436"/>
      <w:bookmarkStart w:id="347" w:name="_Toc532473470"/>
      <w:bookmarkStart w:id="348" w:name="_Toc8587"/>
      <w:bookmarkStart w:id="349" w:name="_Toc515647778"/>
      <w:bookmarkStart w:id="350" w:name="_Toc3395"/>
      <w:bookmarkStart w:id="351" w:name="_Toc28398"/>
      <w:bookmarkStart w:id="352" w:name="_Toc520356163"/>
      <w:bookmarkStart w:id="353" w:name="_Toc3221"/>
      <w:bookmarkStart w:id="354" w:name="_Toc15048309"/>
      <w:bookmarkStart w:id="355" w:name="_Toc216582809"/>
      <w:r>
        <w:rPr>
          <w:rFonts w:hint="eastAsia" w:ascii="宋体" w:hAnsi="宋体" w:eastAsia="宋体" w:cs="宋体"/>
          <w:sz w:val="24"/>
          <w:highlight w:val="none"/>
        </w:rPr>
        <w:t>5、磋商及评审</w:t>
      </w:r>
      <w:bookmarkEnd w:id="346"/>
      <w:bookmarkEnd w:id="347"/>
      <w:bookmarkEnd w:id="348"/>
      <w:bookmarkEnd w:id="349"/>
      <w:bookmarkEnd w:id="350"/>
      <w:bookmarkEnd w:id="351"/>
      <w:bookmarkEnd w:id="352"/>
      <w:bookmarkEnd w:id="353"/>
      <w:bookmarkEnd w:id="354"/>
      <w:bookmarkEnd w:id="355"/>
    </w:p>
    <w:p w14:paraId="465A31DF">
      <w:pPr>
        <w:pStyle w:val="4"/>
        <w:autoSpaceDE w:val="0"/>
        <w:autoSpaceDN w:val="0"/>
        <w:adjustRightInd w:val="0"/>
        <w:spacing w:before="0" w:after="0" w:line="360" w:lineRule="auto"/>
        <w:jc w:val="left"/>
        <w:rPr>
          <w:rFonts w:ascii="宋体" w:hAnsi="宋体" w:cs="宋体"/>
          <w:sz w:val="24"/>
          <w:szCs w:val="24"/>
          <w:highlight w:val="none"/>
        </w:rPr>
      </w:pPr>
      <w:bookmarkStart w:id="356" w:name="_Toc25345"/>
      <w:bookmarkStart w:id="357" w:name="_Toc7186"/>
      <w:bookmarkStart w:id="358" w:name="_Toc15048310"/>
      <w:bookmarkStart w:id="359" w:name="_Toc515647779"/>
      <w:bookmarkStart w:id="360" w:name="_Toc532473471"/>
      <w:bookmarkStart w:id="361" w:name="_Toc520356164"/>
      <w:bookmarkStart w:id="362" w:name="_Toc12884"/>
      <w:bookmarkStart w:id="363" w:name="_Toc13141"/>
      <w:bookmarkStart w:id="364" w:name="_Toc26104"/>
      <w:r>
        <w:rPr>
          <w:rFonts w:hint="eastAsia" w:ascii="宋体" w:hAnsi="宋体" w:cs="宋体"/>
          <w:sz w:val="24"/>
          <w:szCs w:val="24"/>
          <w:highlight w:val="none"/>
        </w:rPr>
        <w:t>5.1磋商</w:t>
      </w:r>
      <w:bookmarkEnd w:id="356"/>
      <w:bookmarkEnd w:id="357"/>
      <w:bookmarkEnd w:id="358"/>
      <w:bookmarkEnd w:id="359"/>
      <w:bookmarkEnd w:id="360"/>
      <w:bookmarkEnd w:id="361"/>
      <w:r>
        <w:rPr>
          <w:rFonts w:hint="eastAsia" w:ascii="宋体" w:hAnsi="宋体" w:cs="宋体"/>
          <w:sz w:val="24"/>
          <w:szCs w:val="24"/>
          <w:highlight w:val="none"/>
        </w:rPr>
        <w:t>会议</w:t>
      </w:r>
      <w:bookmarkEnd w:id="362"/>
      <w:bookmarkEnd w:id="363"/>
      <w:bookmarkEnd w:id="364"/>
    </w:p>
    <w:p w14:paraId="6B2B9E3F">
      <w:pPr>
        <w:spacing w:line="360" w:lineRule="auto"/>
        <w:ind w:left="720" w:hanging="720" w:hangingChars="300"/>
        <w:rPr>
          <w:rFonts w:ascii="宋体" w:hAnsi="宋体" w:cs="宋体"/>
          <w:b/>
          <w:sz w:val="24"/>
          <w:highlight w:val="none"/>
        </w:rPr>
      </w:pPr>
      <w:r>
        <w:rPr>
          <w:rFonts w:hint="eastAsia" w:ascii="宋体" w:hAnsi="宋体" w:cs="宋体"/>
          <w:sz w:val="24"/>
          <w:highlight w:val="none"/>
        </w:rPr>
        <w:t>5.1.1 采购人和采购代理机构将在“</w:t>
      </w:r>
      <w:r>
        <w:rPr>
          <w:rFonts w:hint="eastAsia" w:ascii="宋体" w:hAnsi="宋体" w:cs="宋体"/>
          <w:b/>
          <w:sz w:val="24"/>
          <w:highlight w:val="none"/>
          <w:u w:val="single"/>
        </w:rPr>
        <w:t>供应商须知前附表</w:t>
      </w:r>
      <w:r>
        <w:rPr>
          <w:rFonts w:hint="eastAsia" w:ascii="宋体" w:hAnsi="宋体" w:cs="宋体"/>
          <w:sz w:val="24"/>
          <w:highlight w:val="none"/>
        </w:rPr>
        <w:t>” 中规定的时间和地点组织磋商会议。</w:t>
      </w:r>
      <w:r>
        <w:rPr>
          <w:rFonts w:hint="eastAsia" w:ascii="宋体" w:hAnsi="宋体" w:cs="宋体"/>
          <w:b/>
          <w:sz w:val="24"/>
          <w:highlight w:val="none"/>
        </w:rPr>
        <w:t>供应商无需到河南省公共资源交易中心现场参加磋商会议， 磋商会议采用“远程不见面”方式, 开标大厅的网址</w:t>
      </w:r>
      <w:r>
        <w:rPr>
          <w:rFonts w:hint="eastAsia" w:ascii="宋体" w:hAnsi="宋体" w:cs="宋体"/>
          <w:b/>
          <w:sz w:val="24"/>
          <w:highlight w:val="none"/>
          <w:u w:val="single"/>
        </w:rPr>
        <w:t>见供应商须知前附表</w:t>
      </w:r>
      <w:r>
        <w:rPr>
          <w:rFonts w:hint="eastAsia" w:ascii="宋体" w:hAnsi="宋体" w:cs="宋体"/>
          <w:sz w:val="24"/>
          <w:highlight w:val="none"/>
        </w:rPr>
        <w:t>。所有</w:t>
      </w:r>
      <w:r>
        <w:rPr>
          <w:rFonts w:hint="eastAsia" w:ascii="宋体" w:hAnsi="宋体" w:cs="宋体"/>
          <w:b/>
          <w:sz w:val="24"/>
          <w:highlight w:val="none"/>
        </w:rPr>
        <w:t>供应商须在采购文件规定的响应文件提交截止时间前,登录远程开标大厅,在线准时参加磋商会议活动，并在规定的时间内对响应文件进行解密、答疑澄清（如需要）</w:t>
      </w:r>
      <w:bookmarkStart w:id="365" w:name="_Hlk57218415"/>
      <w:r>
        <w:rPr>
          <w:rFonts w:hint="eastAsia" w:ascii="宋体" w:hAnsi="宋体" w:cs="宋体"/>
          <w:b/>
          <w:sz w:val="24"/>
          <w:highlight w:val="none"/>
        </w:rPr>
        <w:t>、</w:t>
      </w:r>
      <w:bookmarkStart w:id="366" w:name="_Hlk57213779"/>
      <w:r>
        <w:rPr>
          <w:rFonts w:hint="eastAsia" w:ascii="宋体" w:hAnsi="宋体" w:cs="宋体"/>
          <w:b/>
          <w:sz w:val="24"/>
          <w:highlight w:val="none"/>
        </w:rPr>
        <w:t>最后报价</w:t>
      </w:r>
      <w:bookmarkEnd w:id="365"/>
      <w:bookmarkEnd w:id="366"/>
      <w:r>
        <w:rPr>
          <w:rFonts w:hint="eastAsia" w:ascii="宋体" w:hAnsi="宋体" w:cs="宋体"/>
          <w:b/>
          <w:sz w:val="24"/>
          <w:highlight w:val="none"/>
        </w:rPr>
        <w:t>等。</w:t>
      </w:r>
    </w:p>
    <w:p w14:paraId="04A5C17C">
      <w:pPr>
        <w:tabs>
          <w:tab w:val="left" w:pos="360"/>
          <w:tab w:val="left" w:pos="720"/>
        </w:tabs>
        <w:spacing w:line="360" w:lineRule="auto"/>
        <w:ind w:left="720" w:hanging="720" w:hangingChars="300"/>
        <w:rPr>
          <w:rFonts w:ascii="宋体" w:hAnsi="宋体" w:cs="宋体"/>
          <w:sz w:val="24"/>
          <w:highlight w:val="none"/>
        </w:rPr>
      </w:pPr>
      <w:r>
        <w:rPr>
          <w:rFonts w:hint="eastAsia" w:ascii="宋体" w:hAnsi="宋体" w:cs="宋体"/>
          <w:sz w:val="24"/>
          <w:highlight w:val="none"/>
        </w:rPr>
        <w:t>5.1.2 供应商须在供应商须知前附表规定的时间内完成响应文件的解密。由于供应商的自身原因，在规定时间内解密不成功的，其响应文件将被拒绝。</w:t>
      </w:r>
    </w:p>
    <w:p w14:paraId="6400EE4D">
      <w:pPr>
        <w:tabs>
          <w:tab w:val="left" w:pos="360"/>
          <w:tab w:val="left" w:pos="720"/>
        </w:tabs>
        <w:spacing w:line="360" w:lineRule="auto"/>
        <w:ind w:left="720" w:hanging="720" w:hangingChars="300"/>
        <w:rPr>
          <w:rFonts w:ascii="宋体" w:hAnsi="宋体" w:cs="宋体"/>
          <w:sz w:val="24"/>
          <w:highlight w:val="none"/>
        </w:rPr>
      </w:pPr>
      <w:r>
        <w:rPr>
          <w:rFonts w:hint="eastAsia" w:ascii="宋体" w:hAnsi="宋体" w:cs="宋体"/>
          <w:sz w:val="24"/>
          <w:highlight w:val="none"/>
        </w:rPr>
        <w:t>5.1.3 供应商在“河南省公共资源交易中心（</w:t>
      </w:r>
      <w:r>
        <w:rPr>
          <w:highlight w:val="none"/>
        </w:rPr>
        <w:fldChar w:fldCharType="begin"/>
      </w:r>
      <w:r>
        <w:rPr>
          <w:highlight w:val="none"/>
        </w:rPr>
        <w:instrText xml:space="preserve"> HYPERLINK "http://www.hnggzy.com）" </w:instrText>
      </w:r>
      <w:r>
        <w:rPr>
          <w:highlight w:val="none"/>
        </w:rPr>
        <w:fldChar w:fldCharType="separate"/>
      </w:r>
      <w:r>
        <w:rPr>
          <w:rFonts w:hint="eastAsia" w:ascii="宋体" w:hAnsi="宋体" w:cs="宋体"/>
          <w:sz w:val="24"/>
          <w:highlight w:val="none"/>
        </w:rPr>
        <w:t xml:space="preserve"> http://hnsggzyjy.henan.gov.cn/）”网站下载采</w:t>
      </w:r>
      <w:r>
        <w:rPr>
          <w:rFonts w:hint="eastAsia" w:ascii="宋体" w:hAnsi="宋体" w:cs="宋体"/>
          <w:sz w:val="24"/>
          <w:highlight w:val="none"/>
        </w:rPr>
        <w:fldChar w:fldCharType="end"/>
      </w:r>
      <w:r>
        <w:rPr>
          <w:rFonts w:hint="eastAsia" w:ascii="宋体" w:hAnsi="宋体" w:cs="宋体"/>
          <w:sz w:val="24"/>
          <w:highlight w:val="none"/>
        </w:rPr>
        <w:t xml:space="preserve"> 购文件成功后，如未在采购文件规定的“响应文件提交截止时间”前成功上传或误传加密的响应文件，而导致的解密失败,其响应文件将被拒绝。</w:t>
      </w:r>
    </w:p>
    <w:p w14:paraId="035BD77D">
      <w:pPr>
        <w:tabs>
          <w:tab w:val="left" w:pos="360"/>
          <w:tab w:val="left" w:pos="720"/>
        </w:tabs>
        <w:spacing w:line="360" w:lineRule="auto"/>
        <w:ind w:left="960" w:hanging="960" w:hangingChars="400"/>
        <w:rPr>
          <w:rFonts w:ascii="宋体" w:hAnsi="宋体" w:cs="宋体"/>
          <w:sz w:val="24"/>
          <w:highlight w:val="none"/>
        </w:rPr>
      </w:pPr>
      <w:r>
        <w:rPr>
          <w:rFonts w:hint="eastAsia" w:ascii="宋体" w:hAnsi="宋体" w:cs="宋体"/>
          <w:sz w:val="24"/>
          <w:highlight w:val="none"/>
        </w:rPr>
        <w:t>5.1.4 供应商代表对磋商内容有疑义的，应当在磋商过程中通过交易系统提出。</w:t>
      </w:r>
    </w:p>
    <w:p w14:paraId="3CD3C129">
      <w:pPr>
        <w:tabs>
          <w:tab w:val="left" w:pos="360"/>
          <w:tab w:val="left" w:pos="720"/>
        </w:tabs>
        <w:spacing w:line="360" w:lineRule="auto"/>
        <w:ind w:left="720" w:hanging="720" w:hangingChars="300"/>
        <w:rPr>
          <w:rFonts w:ascii="宋体" w:hAnsi="宋体" w:cs="宋体"/>
          <w:b/>
          <w:sz w:val="24"/>
          <w:highlight w:val="none"/>
        </w:rPr>
      </w:pPr>
      <w:r>
        <w:rPr>
          <w:rFonts w:hint="eastAsia" w:ascii="宋体" w:hAnsi="宋体" w:cs="宋体"/>
          <w:sz w:val="24"/>
          <w:highlight w:val="none"/>
        </w:rPr>
        <w:t>5.1.5 在</w:t>
      </w:r>
      <w:r>
        <w:rPr>
          <w:rFonts w:hint="eastAsia" w:ascii="宋体" w:hAnsi="宋体" w:cs="宋体"/>
          <w:b/>
          <w:sz w:val="24"/>
          <w:highlight w:val="none"/>
          <w:u w:val="single"/>
        </w:rPr>
        <w:t>供应商须知前附表</w:t>
      </w:r>
      <w:r>
        <w:rPr>
          <w:rFonts w:hint="eastAsia" w:ascii="宋体" w:hAnsi="宋体" w:cs="宋体"/>
          <w:sz w:val="24"/>
          <w:highlight w:val="none"/>
        </w:rPr>
        <w:t>规定的时间内完成响应文件解密的供应商不足3家的，将不再进行磋商</w:t>
      </w:r>
      <w:bookmarkStart w:id="367" w:name="_Hlk57213805"/>
      <w:r>
        <w:rPr>
          <w:rFonts w:hint="eastAsia" w:ascii="宋体" w:hAnsi="宋体" w:cs="宋体"/>
          <w:sz w:val="24"/>
          <w:highlight w:val="none"/>
        </w:rPr>
        <w:t>（特殊情况除外）</w:t>
      </w:r>
      <w:bookmarkEnd w:id="367"/>
      <w:r>
        <w:rPr>
          <w:rFonts w:hint="eastAsia" w:ascii="宋体" w:hAnsi="宋体" w:cs="宋体"/>
          <w:sz w:val="24"/>
          <w:highlight w:val="none"/>
        </w:rPr>
        <w:t>。</w:t>
      </w:r>
    </w:p>
    <w:p w14:paraId="71249872">
      <w:pPr>
        <w:pStyle w:val="4"/>
        <w:spacing w:before="0" w:after="0" w:line="360" w:lineRule="auto"/>
        <w:rPr>
          <w:rFonts w:ascii="宋体" w:hAnsi="宋体" w:cs="宋体"/>
          <w:sz w:val="24"/>
          <w:szCs w:val="24"/>
          <w:highlight w:val="none"/>
        </w:rPr>
      </w:pPr>
      <w:bookmarkStart w:id="368" w:name="_Toc532473472"/>
      <w:bookmarkStart w:id="369" w:name="_Toc15048311"/>
      <w:bookmarkStart w:id="370" w:name="_Toc19296"/>
      <w:bookmarkStart w:id="371" w:name="_Toc515647780"/>
      <w:bookmarkStart w:id="372" w:name="_Toc21372"/>
      <w:bookmarkStart w:id="373" w:name="_Toc18680"/>
      <w:bookmarkStart w:id="374" w:name="_Toc8958"/>
      <w:bookmarkStart w:id="375" w:name="_Toc28038"/>
      <w:r>
        <w:rPr>
          <w:rFonts w:hint="eastAsia" w:ascii="宋体" w:hAnsi="宋体" w:cs="宋体"/>
          <w:sz w:val="24"/>
          <w:szCs w:val="24"/>
          <w:highlight w:val="none"/>
        </w:rPr>
        <w:t>5.2 组建</w:t>
      </w:r>
      <w:bookmarkEnd w:id="368"/>
      <w:bookmarkEnd w:id="369"/>
      <w:bookmarkEnd w:id="370"/>
      <w:bookmarkEnd w:id="371"/>
      <w:bookmarkEnd w:id="372"/>
      <w:r>
        <w:rPr>
          <w:rFonts w:hint="eastAsia" w:ascii="宋体" w:hAnsi="宋体" w:cs="宋体"/>
          <w:sz w:val="24"/>
          <w:szCs w:val="24"/>
          <w:highlight w:val="none"/>
        </w:rPr>
        <w:t>磋商小组</w:t>
      </w:r>
      <w:bookmarkEnd w:id="373"/>
      <w:bookmarkEnd w:id="374"/>
      <w:bookmarkEnd w:id="375"/>
    </w:p>
    <w:p w14:paraId="46D9C3EC">
      <w:pPr>
        <w:spacing w:line="360" w:lineRule="auto"/>
        <w:ind w:left="720" w:hanging="720" w:hangingChars="300"/>
        <w:rPr>
          <w:rFonts w:ascii="宋体" w:hAnsi="宋体" w:cs="宋体"/>
          <w:sz w:val="24"/>
          <w:highlight w:val="none"/>
        </w:rPr>
      </w:pPr>
      <w:r>
        <w:rPr>
          <w:rFonts w:hint="eastAsia" w:ascii="宋体" w:hAnsi="宋体" w:cs="宋体"/>
          <w:sz w:val="24"/>
          <w:highlight w:val="none"/>
        </w:rPr>
        <w:t>5.2.1 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14:paraId="19A5A96A">
      <w:pPr>
        <w:tabs>
          <w:tab w:val="left" w:pos="720"/>
        </w:tabs>
        <w:spacing w:line="360" w:lineRule="auto"/>
        <w:ind w:left="720" w:hanging="720" w:hangingChars="300"/>
        <w:rPr>
          <w:rFonts w:ascii="宋体" w:hAnsi="宋体" w:cs="宋体"/>
          <w:sz w:val="24"/>
          <w:highlight w:val="none"/>
        </w:rPr>
      </w:pPr>
      <w:r>
        <w:rPr>
          <w:rFonts w:hint="eastAsia" w:ascii="宋体" w:hAnsi="宋体" w:cs="宋体"/>
          <w:sz w:val="24"/>
          <w:highlight w:val="none"/>
        </w:rPr>
        <w:t>5.2.2磋商小组由采购人代表和评审专家组成，成员人数为三人以上单数。其中，评审专家不得少于成员总数的三分之二。具体成员人数见</w:t>
      </w:r>
      <w:r>
        <w:rPr>
          <w:rFonts w:hint="eastAsia" w:ascii="宋体" w:hAnsi="宋体" w:cs="宋体"/>
          <w:b/>
          <w:sz w:val="24"/>
          <w:highlight w:val="none"/>
          <w:u w:val="single"/>
        </w:rPr>
        <w:t>供应商须知前附表</w:t>
      </w:r>
      <w:r>
        <w:rPr>
          <w:rFonts w:hint="eastAsia" w:ascii="宋体" w:hAnsi="宋体" w:cs="宋体"/>
          <w:sz w:val="24"/>
          <w:highlight w:val="none"/>
        </w:rPr>
        <w:t>。</w:t>
      </w:r>
    </w:p>
    <w:p w14:paraId="6F349650">
      <w:pPr>
        <w:pStyle w:val="4"/>
        <w:spacing w:before="0" w:after="0" w:line="360" w:lineRule="auto"/>
        <w:rPr>
          <w:rFonts w:ascii="宋体" w:hAnsi="宋体" w:cs="宋体"/>
          <w:sz w:val="24"/>
          <w:szCs w:val="24"/>
          <w:highlight w:val="none"/>
        </w:rPr>
      </w:pPr>
      <w:bookmarkStart w:id="376" w:name="_Toc13916"/>
      <w:bookmarkStart w:id="377" w:name="_Toc8698"/>
      <w:bookmarkStart w:id="378" w:name="_Toc14249"/>
      <w:r>
        <w:rPr>
          <w:rFonts w:hint="eastAsia" w:ascii="宋体" w:hAnsi="宋体" w:cs="宋体"/>
          <w:sz w:val="24"/>
          <w:szCs w:val="24"/>
          <w:highlight w:val="none"/>
        </w:rPr>
        <w:t>5.3资格审查</w:t>
      </w:r>
      <w:bookmarkEnd w:id="376"/>
      <w:bookmarkEnd w:id="377"/>
      <w:bookmarkEnd w:id="378"/>
    </w:p>
    <w:p w14:paraId="7064F510">
      <w:pPr>
        <w:spacing w:line="360" w:lineRule="auto"/>
        <w:ind w:left="720" w:hanging="720" w:hangingChars="300"/>
        <w:rPr>
          <w:rFonts w:ascii="宋体" w:hAnsi="宋体" w:cs="宋体"/>
          <w:sz w:val="24"/>
          <w:highlight w:val="none"/>
          <w:shd w:val="clear" w:color="auto" w:fill="FFFFFF"/>
        </w:rPr>
      </w:pPr>
      <w:r>
        <w:rPr>
          <w:rFonts w:hint="eastAsia" w:ascii="宋体" w:hAnsi="宋体" w:cs="宋体"/>
          <w:sz w:val="24"/>
          <w:highlight w:val="none"/>
        </w:rPr>
        <w:t>5.3.1 磋商小组依据法律法规和采购文件中规定的内容，对供应商的资格（提交的资格证明材料）进行审查。未通过资格审查的供应商不能进入下一阶段评审；通过资格审查的供应商不足3家的(特殊情况下不足2家的)</w:t>
      </w:r>
      <w:r>
        <w:rPr>
          <w:rFonts w:hint="eastAsia" w:ascii="宋体" w:hAnsi="宋体" w:cs="宋体"/>
          <w:sz w:val="24"/>
          <w:highlight w:val="none"/>
          <w:shd w:val="clear" w:color="auto" w:fill="FFFFFF"/>
        </w:rPr>
        <w:t>，不得进入下一阶段评审。</w:t>
      </w:r>
    </w:p>
    <w:p w14:paraId="3B2CA028">
      <w:pPr>
        <w:spacing w:line="360" w:lineRule="auto"/>
        <w:ind w:left="630" w:leftChars="300"/>
        <w:rPr>
          <w:rFonts w:ascii="宋体" w:hAnsi="宋体" w:cs="宋体"/>
          <w:sz w:val="24"/>
          <w:highlight w:val="none"/>
        </w:rPr>
      </w:pPr>
      <w:r>
        <w:rPr>
          <w:rFonts w:hint="eastAsia" w:ascii="宋体" w:hAnsi="宋体" w:cs="宋体"/>
          <w:sz w:val="24"/>
          <w:highlight w:val="none"/>
          <w:shd w:val="clear" w:color="auto" w:fill="FFFFFF"/>
        </w:rPr>
        <w:t>特殊情况：</w:t>
      </w:r>
      <w:r>
        <w:rPr>
          <w:rFonts w:hint="eastAsia" w:ascii="宋体" w:hAnsi="宋体" w:cs="宋体"/>
          <w:sz w:val="24"/>
          <w:highlight w:val="none"/>
        </w:rPr>
        <w:t>采用竞争性磋商采购方式采购“市场竞争不充分的科研项目，以及   需要扶持的科技成果转化项目”，通过资格审查的供应商不足2家的</w:t>
      </w:r>
      <w:r>
        <w:rPr>
          <w:rFonts w:hint="eastAsia" w:ascii="宋体" w:hAnsi="宋体" w:cs="宋体"/>
          <w:sz w:val="24"/>
          <w:highlight w:val="none"/>
          <w:shd w:val="clear" w:color="auto" w:fill="FFFFFF"/>
        </w:rPr>
        <w:t>，不得进入下一阶段评审。</w:t>
      </w:r>
      <w:r>
        <w:rPr>
          <w:rFonts w:hint="eastAsia" w:ascii="宋体" w:hAnsi="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5A0E93D">
      <w:pPr>
        <w:spacing w:line="360" w:lineRule="auto"/>
        <w:ind w:left="718" w:leftChars="-1" w:hanging="720" w:hangingChars="300"/>
        <w:rPr>
          <w:rFonts w:ascii="宋体" w:hAnsi="宋体" w:cs="宋体"/>
          <w:sz w:val="24"/>
          <w:highlight w:val="none"/>
        </w:rPr>
      </w:pPr>
      <w:r>
        <w:rPr>
          <w:rFonts w:hint="eastAsia" w:ascii="宋体" w:hAnsi="宋体" w:cs="宋体"/>
          <w:sz w:val="24"/>
          <w:highlight w:val="none"/>
        </w:rPr>
        <w:t>5.3.2采购人或采购代理机构将按照</w:t>
      </w:r>
      <w:r>
        <w:rPr>
          <w:rFonts w:hint="eastAsia" w:ascii="宋体" w:hAnsi="宋体" w:cs="宋体"/>
          <w:b/>
          <w:sz w:val="24"/>
          <w:highlight w:val="none"/>
          <w:u w:val="single"/>
        </w:rPr>
        <w:t>供应商须知前附表</w:t>
      </w:r>
      <w:r>
        <w:rPr>
          <w:rFonts w:hint="eastAsia" w:ascii="宋体" w:hAnsi="宋体" w:cs="宋体"/>
          <w:sz w:val="24"/>
          <w:highlight w:val="none"/>
        </w:rPr>
        <w:t>中规定的时间查询供应商的信用记录。</w:t>
      </w:r>
    </w:p>
    <w:p w14:paraId="2BA00CC9">
      <w:pPr>
        <w:spacing w:line="360" w:lineRule="auto"/>
        <w:ind w:left="707" w:leftChars="-6" w:hanging="720" w:hangingChars="300"/>
        <w:rPr>
          <w:rFonts w:ascii="宋体" w:hAnsi="宋体" w:cs="宋体"/>
          <w:sz w:val="24"/>
          <w:highlight w:val="none"/>
        </w:rPr>
      </w:pPr>
      <w:r>
        <w:rPr>
          <w:rFonts w:hint="eastAsia" w:ascii="宋体" w:hAnsi="宋体" w:cs="宋体"/>
          <w:sz w:val="24"/>
          <w:highlight w:val="none"/>
        </w:rPr>
        <w:t>5.3.3 供应商在中国政府采购网（</w:t>
      </w:r>
      <w:r>
        <w:rPr>
          <w:highlight w:val="none"/>
        </w:rPr>
        <w:fldChar w:fldCharType="begin"/>
      </w:r>
      <w:r>
        <w:rPr>
          <w:highlight w:val="none"/>
        </w:rPr>
        <w:instrText xml:space="preserve"> HYPERLINK "http://www.ccgp.gov.cn）被列入政府采购严重违法失信行" </w:instrText>
      </w:r>
      <w:r>
        <w:rPr>
          <w:highlight w:val="none"/>
        </w:rPr>
        <w:fldChar w:fldCharType="separate"/>
      </w:r>
      <w:r>
        <w:rPr>
          <w:rStyle w:val="37"/>
          <w:rFonts w:hint="eastAsia" w:ascii="宋体" w:hAnsi="宋体" w:cs="宋体"/>
          <w:color w:val="auto"/>
          <w:sz w:val="24"/>
          <w:highlight w:val="none"/>
        </w:rPr>
        <w:t>www.ccgp.gov.cn）被列入政府采购严重违法失信行</w:t>
      </w:r>
      <w:r>
        <w:rPr>
          <w:rStyle w:val="37"/>
          <w:rFonts w:hint="eastAsia" w:ascii="宋体" w:hAnsi="宋体" w:cs="宋体"/>
          <w:color w:val="auto"/>
          <w:sz w:val="24"/>
          <w:highlight w:val="none"/>
        </w:rPr>
        <w:fldChar w:fldCharType="end"/>
      </w:r>
      <w:r>
        <w:rPr>
          <w:rStyle w:val="37"/>
          <w:rFonts w:hint="eastAsia" w:ascii="宋体" w:hAnsi="宋体" w:cs="宋体"/>
          <w:color w:val="auto"/>
          <w:sz w:val="24"/>
          <w:highlight w:val="none"/>
        </w:rPr>
        <w:t>为</w:t>
      </w:r>
      <w:r>
        <w:rPr>
          <w:rFonts w:hint="eastAsia" w:ascii="宋体" w:hAnsi="宋体" w:cs="宋体"/>
          <w:sz w:val="24"/>
          <w:highlight w:val="none"/>
        </w:rPr>
        <w:t>记录名单，或在“信用中国”网站（www.creditchina.gov.cn）被列入失信被执行人、重大税收违法失信主体，以及存在《中华人民共和国政府采购法实施条例》第十九条规定的重大违法记录的，其</w:t>
      </w:r>
      <w:r>
        <w:rPr>
          <w:rFonts w:hint="eastAsia" w:ascii="宋体" w:hAnsi="宋体" w:cs="宋体"/>
          <w:sz w:val="24"/>
          <w:highlight w:val="none"/>
          <w:shd w:val="clear" w:color="auto" w:fill="FFFFFF"/>
        </w:rPr>
        <w:t>响应文件将被认定为</w:t>
      </w:r>
      <w:r>
        <w:rPr>
          <w:rFonts w:hint="eastAsia" w:ascii="宋体" w:hAnsi="宋体" w:cs="宋体"/>
          <w:b/>
          <w:bCs/>
          <w:sz w:val="24"/>
          <w:highlight w:val="none"/>
          <w:shd w:val="clear" w:color="auto" w:fill="FFFFFF"/>
        </w:rPr>
        <w:t>无效响应文件</w:t>
      </w:r>
      <w:r>
        <w:rPr>
          <w:rFonts w:hint="eastAsia" w:ascii="宋体" w:hAnsi="宋体" w:cs="宋体"/>
          <w:sz w:val="24"/>
          <w:highlight w:val="none"/>
          <w:shd w:val="clear" w:color="auto" w:fill="FFFFFF"/>
        </w:rPr>
        <w:t>。</w:t>
      </w:r>
    </w:p>
    <w:p w14:paraId="33264A29">
      <w:pPr>
        <w:pStyle w:val="8"/>
        <w:spacing w:line="360" w:lineRule="auto"/>
        <w:ind w:left="720" w:hanging="720" w:hangingChars="300"/>
        <w:rPr>
          <w:rFonts w:ascii="宋体" w:hAnsi="宋体" w:cs="宋体"/>
          <w:sz w:val="24"/>
          <w:highlight w:val="none"/>
        </w:rPr>
      </w:pPr>
      <w:r>
        <w:rPr>
          <w:rFonts w:hint="eastAsia" w:ascii="宋体" w:hAnsi="宋体" w:cs="宋体"/>
          <w:sz w:val="24"/>
          <w:highlight w:val="none"/>
        </w:rPr>
        <w:t>5.3.4 查询及记录方式：采购人或采购代理机构经办人将查询网页打印并存档备查。供应商不良信用记录以采购人或采购代理机构查询结果为准。供应商自行提供的与网站信息不一致的其他证明材料亦不作为资格审查依据。在磋商文件规定的查询时间之外，网站信息发生的任何变更均不作为资格审查依据。</w:t>
      </w:r>
    </w:p>
    <w:p w14:paraId="36F025CB">
      <w:pPr>
        <w:pStyle w:val="4"/>
        <w:spacing w:before="0" w:after="0" w:line="360" w:lineRule="auto"/>
        <w:rPr>
          <w:rFonts w:ascii="宋体" w:hAnsi="宋体" w:cs="宋体"/>
          <w:b w:val="0"/>
          <w:bCs w:val="0"/>
          <w:sz w:val="24"/>
          <w:szCs w:val="24"/>
          <w:highlight w:val="none"/>
          <w:bdr w:val="single" w:color="auto" w:sz="4" w:space="0"/>
        </w:rPr>
      </w:pPr>
      <w:bookmarkStart w:id="379" w:name="_Toc515647781"/>
      <w:bookmarkStart w:id="380" w:name="_Toc6244"/>
      <w:bookmarkStart w:id="381" w:name="_Toc15048312"/>
      <w:bookmarkStart w:id="382" w:name="_Toc32099"/>
      <w:bookmarkStart w:id="383" w:name="_Toc28479"/>
      <w:bookmarkStart w:id="384" w:name="_Toc532473473"/>
      <w:bookmarkStart w:id="385" w:name="_Toc19949"/>
      <w:bookmarkStart w:id="386" w:name="_Toc8970"/>
      <w:r>
        <w:rPr>
          <w:rFonts w:hint="eastAsia" w:ascii="宋体" w:hAnsi="宋体" w:cs="宋体"/>
          <w:sz w:val="24"/>
          <w:szCs w:val="24"/>
          <w:highlight w:val="none"/>
        </w:rPr>
        <w:t>5.4 响应文件符合性审查与澄清</w:t>
      </w:r>
      <w:bookmarkEnd w:id="379"/>
      <w:bookmarkEnd w:id="380"/>
      <w:bookmarkEnd w:id="381"/>
      <w:bookmarkEnd w:id="382"/>
      <w:bookmarkEnd w:id="383"/>
      <w:bookmarkEnd w:id="384"/>
      <w:bookmarkEnd w:id="385"/>
      <w:bookmarkEnd w:id="386"/>
    </w:p>
    <w:p w14:paraId="549965F4">
      <w:pPr>
        <w:spacing w:line="360" w:lineRule="auto"/>
        <w:ind w:left="720" w:hanging="720" w:hangingChars="300"/>
        <w:rPr>
          <w:rFonts w:ascii="宋体" w:hAnsi="宋体" w:cs="宋体"/>
          <w:sz w:val="24"/>
          <w:highlight w:val="none"/>
        </w:rPr>
      </w:pPr>
      <w:r>
        <w:rPr>
          <w:rFonts w:hint="eastAsia" w:ascii="宋体" w:hAnsi="宋体" w:cs="宋体"/>
          <w:sz w:val="24"/>
          <w:highlight w:val="none"/>
        </w:rPr>
        <w:t>5.4.1</w:t>
      </w:r>
      <w:bookmarkStart w:id="387" w:name="_Hlt522424701"/>
      <w:bookmarkEnd w:id="387"/>
      <w:r>
        <w:rPr>
          <w:rFonts w:hint="eastAsia" w:ascii="宋体" w:hAnsi="宋体" w:cs="宋体"/>
          <w:sz w:val="24"/>
          <w:highlight w:val="none"/>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16A33A5">
      <w:pPr>
        <w:spacing w:line="360" w:lineRule="auto"/>
        <w:ind w:left="630" w:leftChars="300"/>
        <w:rPr>
          <w:rFonts w:ascii="宋体" w:hAnsi="宋体" w:cs="宋体"/>
          <w:sz w:val="24"/>
          <w:highlight w:val="none"/>
        </w:rPr>
      </w:pPr>
      <w:r>
        <w:rPr>
          <w:rFonts w:hint="eastAsia" w:ascii="宋体" w:hAnsi="宋体" w:cs="宋体"/>
          <w:sz w:val="24"/>
          <w:highlight w:val="none"/>
          <w:shd w:val="clear" w:color="auto" w:fill="FFFFFF"/>
        </w:rPr>
        <w:t>特殊情况：</w:t>
      </w:r>
      <w:r>
        <w:rPr>
          <w:rFonts w:hint="eastAsia" w:ascii="宋体" w:hAnsi="宋体" w:cs="宋体"/>
          <w:sz w:val="24"/>
          <w:highlight w:val="none"/>
        </w:rPr>
        <w:t>采用竞争性磋商采购方式采购“市场竞争不充分的科研项目，以及   需要扶持的科技成果转化项目”，通过符合性审查的供应商不足2家的</w:t>
      </w:r>
      <w:r>
        <w:rPr>
          <w:rFonts w:hint="eastAsia" w:ascii="宋体" w:hAnsi="宋体" w:cs="宋体"/>
          <w:sz w:val="24"/>
          <w:highlight w:val="none"/>
          <w:shd w:val="clear" w:color="auto" w:fill="FFFFFF"/>
        </w:rPr>
        <w:t>，不得进入下一阶段评审。</w:t>
      </w:r>
      <w:r>
        <w:rPr>
          <w:rFonts w:hint="eastAsia" w:ascii="宋体" w:hAnsi="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DA118AA">
      <w:pPr>
        <w:spacing w:line="360" w:lineRule="auto"/>
        <w:rPr>
          <w:rFonts w:ascii="宋体" w:hAnsi="宋体" w:cs="宋体"/>
          <w:sz w:val="24"/>
          <w:highlight w:val="none"/>
        </w:rPr>
      </w:pPr>
      <w:r>
        <w:rPr>
          <w:rFonts w:hint="eastAsia" w:ascii="宋体" w:hAnsi="宋体" w:cs="宋体"/>
          <w:sz w:val="24"/>
          <w:highlight w:val="none"/>
        </w:rPr>
        <w:t>5.4.2 响应文件的澄清</w:t>
      </w:r>
    </w:p>
    <w:p w14:paraId="1A5A61CA">
      <w:pPr>
        <w:spacing w:line="360" w:lineRule="auto"/>
        <w:ind w:left="960" w:hanging="960" w:hangingChars="400"/>
        <w:rPr>
          <w:rFonts w:ascii="宋体" w:hAnsi="宋体" w:cs="宋体"/>
          <w:sz w:val="24"/>
          <w:highlight w:val="none"/>
        </w:rPr>
      </w:pPr>
      <w:r>
        <w:rPr>
          <w:rFonts w:hint="eastAsia" w:ascii="宋体" w:hAnsi="宋体" w:cs="宋体"/>
          <w:sz w:val="24"/>
          <w:highlight w:val="none"/>
        </w:rPr>
        <w:t>5.4.2.1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3BDBEE29">
      <w:pPr>
        <w:spacing w:line="360" w:lineRule="auto"/>
        <w:ind w:left="960" w:hanging="960" w:hangingChars="400"/>
        <w:rPr>
          <w:rFonts w:ascii="宋体" w:hAnsi="宋体" w:cs="宋体"/>
          <w:sz w:val="24"/>
          <w:highlight w:val="none"/>
        </w:rPr>
      </w:pPr>
      <w:r>
        <w:rPr>
          <w:rFonts w:hint="eastAsia" w:ascii="宋体" w:hAnsi="宋体" w:cs="宋体"/>
          <w:sz w:val="24"/>
          <w:highlight w:val="none"/>
        </w:rPr>
        <w:t>磋商小组要求供应商澄清、说明或者更正响应文件将以书面形式作出，并在交易系统中向供应商发出，供应商在收到该要求后，应在磋商小组规定时间内在交易系统中做出相应的回复，如果磋商小组在规定时间内没有收到供应商的回复则视为该供应商没有回复。</w:t>
      </w:r>
    </w:p>
    <w:p w14:paraId="236EB716">
      <w:pPr>
        <w:spacing w:line="360" w:lineRule="auto"/>
        <w:ind w:left="960" w:hanging="960" w:hangingChars="400"/>
        <w:rPr>
          <w:rFonts w:ascii="宋体" w:hAnsi="宋体" w:cs="宋体"/>
          <w:sz w:val="24"/>
          <w:highlight w:val="none"/>
        </w:rPr>
      </w:pPr>
      <w:r>
        <w:rPr>
          <w:rFonts w:hint="eastAsia" w:ascii="宋体" w:hAnsi="宋体" w:cs="宋体"/>
          <w:sz w:val="24"/>
          <w:highlight w:val="none"/>
        </w:rPr>
        <w:t>5.4.2.2 供应商应当在采购文件中确定的响应文件递交截止时间前,登录远程开标大厅,在线准时参加磋商活动并根据需要进行文件答疑澄清等。</w:t>
      </w:r>
    </w:p>
    <w:p w14:paraId="6DFD3D36">
      <w:pPr>
        <w:spacing w:line="360" w:lineRule="auto"/>
        <w:ind w:left="960" w:hanging="960" w:hangingChars="400"/>
        <w:rPr>
          <w:rFonts w:ascii="宋体" w:hAnsi="宋体" w:cs="宋体"/>
          <w:sz w:val="24"/>
          <w:highlight w:val="none"/>
        </w:rPr>
      </w:pPr>
      <w:r>
        <w:rPr>
          <w:rFonts w:hint="eastAsia" w:ascii="宋体" w:hAnsi="宋体" w:cs="宋体"/>
          <w:sz w:val="24"/>
          <w:highlight w:val="none"/>
        </w:rPr>
        <w:t>5.4.2.3供应商的澄清、说明或者更正应当加盖单位的电子签章及法定代表人（或单位负责人）的电子签章。供应商为自然人的，应当由本人签字并附身份证明。</w:t>
      </w:r>
    </w:p>
    <w:p w14:paraId="603D468E">
      <w:pPr>
        <w:spacing w:line="360" w:lineRule="auto"/>
        <w:ind w:left="960" w:hanging="960" w:hangingChars="400"/>
        <w:rPr>
          <w:rFonts w:ascii="宋体" w:hAnsi="宋体" w:cs="宋体"/>
          <w:sz w:val="24"/>
          <w:highlight w:val="none"/>
        </w:rPr>
      </w:pPr>
      <w:r>
        <w:rPr>
          <w:rFonts w:hint="eastAsia" w:ascii="宋体" w:hAnsi="宋体" w:cs="宋体"/>
          <w:sz w:val="24"/>
          <w:highlight w:val="none"/>
        </w:rPr>
        <w:t>5.4.2.4 响应文件的澄清、说明或者更正不得对响应文件的内容进行实质性修改。</w:t>
      </w:r>
    </w:p>
    <w:p w14:paraId="6C43C9CF">
      <w:pPr>
        <w:spacing w:line="360" w:lineRule="auto"/>
        <w:ind w:left="960" w:hanging="960" w:hangingChars="400"/>
        <w:rPr>
          <w:rFonts w:ascii="宋体" w:hAnsi="宋体" w:cs="宋体"/>
          <w:sz w:val="24"/>
          <w:highlight w:val="none"/>
        </w:rPr>
      </w:pPr>
      <w:r>
        <w:rPr>
          <w:rFonts w:hint="eastAsia" w:ascii="宋体" w:hAnsi="宋体" w:cs="宋体"/>
          <w:sz w:val="24"/>
          <w:highlight w:val="none"/>
        </w:rPr>
        <w:t>5.4.2.5 供应商的澄清、说明或更正将作为响应文件的一部分并取代响应文件中被澄清的部分。</w:t>
      </w:r>
    </w:p>
    <w:p w14:paraId="5D2A1F05">
      <w:pPr>
        <w:pStyle w:val="4"/>
        <w:spacing w:before="0" w:after="0" w:line="360" w:lineRule="auto"/>
        <w:rPr>
          <w:rFonts w:ascii="宋体" w:hAnsi="宋体" w:cs="宋体"/>
          <w:sz w:val="24"/>
          <w:szCs w:val="24"/>
          <w:highlight w:val="none"/>
        </w:rPr>
      </w:pPr>
      <w:bookmarkStart w:id="388" w:name="_Toc20828"/>
      <w:bookmarkStart w:id="389" w:name="_Toc32509"/>
      <w:bookmarkStart w:id="390" w:name="_Toc833"/>
      <w:r>
        <w:rPr>
          <w:rFonts w:hint="eastAsia" w:ascii="宋体" w:hAnsi="宋体" w:cs="宋体"/>
          <w:sz w:val="24"/>
          <w:szCs w:val="24"/>
          <w:highlight w:val="none"/>
        </w:rPr>
        <w:t>5.5 磋商</w:t>
      </w:r>
      <w:bookmarkEnd w:id="388"/>
      <w:bookmarkEnd w:id="389"/>
      <w:bookmarkEnd w:id="390"/>
    </w:p>
    <w:p w14:paraId="7DC880BB">
      <w:pPr>
        <w:spacing w:line="360" w:lineRule="auto"/>
        <w:ind w:left="720" w:hanging="720" w:hangingChars="300"/>
        <w:rPr>
          <w:rFonts w:ascii="宋体" w:hAnsi="宋体" w:cs="宋体"/>
          <w:sz w:val="24"/>
          <w:highlight w:val="none"/>
        </w:rPr>
      </w:pPr>
      <w:r>
        <w:rPr>
          <w:rFonts w:hint="eastAsia" w:ascii="宋体" w:hAnsi="宋体" w:cs="宋体"/>
          <w:sz w:val="24"/>
          <w:highlight w:val="none"/>
        </w:rPr>
        <w:t>5.5.1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228B049F">
      <w:pPr>
        <w:spacing w:line="360" w:lineRule="auto"/>
        <w:ind w:left="720" w:hanging="720" w:hangingChars="300"/>
        <w:rPr>
          <w:rFonts w:ascii="宋体" w:hAnsi="宋体" w:cs="宋体"/>
          <w:sz w:val="24"/>
          <w:highlight w:val="none"/>
        </w:rPr>
      </w:pPr>
      <w:r>
        <w:rPr>
          <w:rFonts w:hint="eastAsia" w:ascii="宋体" w:hAnsi="宋体" w:cs="宋体"/>
          <w:sz w:val="24"/>
          <w:highlight w:val="none"/>
        </w:rPr>
        <w:t>5.5.2在磋商过程中，磋商小组可以根据采购文件和磋商情况，经采购人代表确认后变动采购需求中的技术、服务要求以及合同草案条款等实质性内容，但不得变动磋商文件中的其他内容。</w:t>
      </w:r>
    </w:p>
    <w:p w14:paraId="35199B40">
      <w:pPr>
        <w:spacing w:line="360" w:lineRule="auto"/>
        <w:ind w:left="720" w:hanging="720" w:hangingChars="300"/>
        <w:rPr>
          <w:rFonts w:ascii="宋体" w:hAnsi="宋体" w:cs="宋体"/>
          <w:sz w:val="24"/>
          <w:highlight w:val="none"/>
        </w:rPr>
      </w:pPr>
      <w:r>
        <w:rPr>
          <w:rFonts w:hint="eastAsia" w:ascii="宋体" w:hAnsi="宋体" w:cs="宋体"/>
          <w:sz w:val="24"/>
          <w:highlight w:val="none"/>
        </w:rPr>
        <w:t>5.5.3对采购文件作出实质性变动是采购文件的有效组成部分，磋商小组将及时以书面形式同时通知所有参加磋商的供应商。</w:t>
      </w:r>
    </w:p>
    <w:p w14:paraId="5F272985">
      <w:pPr>
        <w:spacing w:line="360" w:lineRule="auto"/>
        <w:ind w:left="720" w:hanging="720" w:hangingChars="300"/>
        <w:rPr>
          <w:rFonts w:ascii="宋体" w:hAnsi="宋体" w:cs="宋体"/>
          <w:sz w:val="24"/>
          <w:highlight w:val="none"/>
        </w:rPr>
      </w:pPr>
      <w:r>
        <w:rPr>
          <w:rFonts w:hint="eastAsia" w:ascii="宋体" w:hAnsi="宋体" w:cs="宋体"/>
          <w:sz w:val="24"/>
          <w:highlight w:val="none"/>
        </w:rPr>
        <w:t>5.5.4如果采购文件作出实质性变动，供应商应当按照采购文件的变动情况和磋商小组的要求重新提交响应文件，并按要求加盖电子签章，供应商为自然人的，应当由本人签字并附身份证明。</w:t>
      </w:r>
    </w:p>
    <w:p w14:paraId="60A9198C">
      <w:pPr>
        <w:pStyle w:val="4"/>
        <w:spacing w:before="0" w:after="0" w:line="360" w:lineRule="auto"/>
        <w:rPr>
          <w:rFonts w:ascii="宋体" w:hAnsi="宋体" w:cs="宋体"/>
          <w:sz w:val="24"/>
          <w:highlight w:val="none"/>
        </w:rPr>
      </w:pPr>
      <w:bookmarkStart w:id="391" w:name="_Toc24204"/>
      <w:bookmarkStart w:id="392" w:name="_Toc8461"/>
      <w:bookmarkStart w:id="393" w:name="_Toc5364"/>
      <w:r>
        <w:rPr>
          <w:rFonts w:hint="eastAsia" w:ascii="宋体" w:hAnsi="宋体" w:cs="宋体"/>
          <w:sz w:val="24"/>
          <w:szCs w:val="24"/>
          <w:highlight w:val="none"/>
        </w:rPr>
        <w:t>5.6最后报价</w:t>
      </w:r>
      <w:bookmarkEnd w:id="391"/>
      <w:bookmarkEnd w:id="392"/>
      <w:bookmarkEnd w:id="393"/>
    </w:p>
    <w:p w14:paraId="2196FB04">
      <w:pPr>
        <w:spacing w:line="360" w:lineRule="auto"/>
        <w:ind w:left="720" w:hanging="720" w:hangingChars="300"/>
        <w:rPr>
          <w:rFonts w:ascii="宋体" w:hAnsi="宋体" w:cs="宋体"/>
          <w:sz w:val="24"/>
          <w:highlight w:val="none"/>
        </w:rPr>
      </w:pPr>
      <w:r>
        <w:rPr>
          <w:rFonts w:hint="eastAsia" w:ascii="宋体" w:hAnsi="宋体" w:cs="宋体"/>
          <w:sz w:val="24"/>
          <w:highlight w:val="none"/>
        </w:rPr>
        <w:t>5.6.1采购文件能够详细列明采购标的的技术、服务要求的，磋商结束后，磋商小组将要求所有实质性响应的供应商在规定时间内提交最后报价。</w:t>
      </w:r>
    </w:p>
    <w:p w14:paraId="00777627">
      <w:pPr>
        <w:spacing w:line="360" w:lineRule="auto"/>
        <w:ind w:left="720" w:hanging="720" w:hangingChars="300"/>
        <w:rPr>
          <w:rFonts w:ascii="宋体" w:hAnsi="宋体" w:cs="宋体"/>
          <w:sz w:val="24"/>
          <w:highlight w:val="none"/>
        </w:rPr>
      </w:pPr>
      <w:r>
        <w:rPr>
          <w:rFonts w:hint="eastAsia" w:ascii="宋体" w:hAnsi="宋体" w:cs="宋体"/>
          <w:sz w:val="24"/>
          <w:highlight w:val="none"/>
        </w:rPr>
        <w:t>　　  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D503774">
      <w:pPr>
        <w:spacing w:line="360" w:lineRule="auto"/>
        <w:ind w:left="720" w:hanging="720" w:hangingChars="300"/>
        <w:rPr>
          <w:rFonts w:ascii="宋体" w:hAnsi="宋体" w:cs="宋体"/>
          <w:sz w:val="24"/>
          <w:highlight w:val="none"/>
        </w:rPr>
      </w:pPr>
      <w:r>
        <w:rPr>
          <w:rFonts w:hint="eastAsia" w:ascii="宋体" w:hAnsi="宋体" w:cs="宋体"/>
          <w:sz w:val="24"/>
          <w:highlight w:val="none"/>
        </w:rPr>
        <w:t>5.6.2 采用竞争性磋商方式开展采购的“市场竞争不充分的科研项目，以及需要扶持的科技成果转化项目”，提交最后报价的供应商可以为2家。</w:t>
      </w:r>
    </w:p>
    <w:p w14:paraId="0F7889D7">
      <w:pPr>
        <w:spacing w:line="360" w:lineRule="auto"/>
        <w:ind w:left="630" w:leftChars="300"/>
        <w:rPr>
          <w:rFonts w:ascii="宋体" w:hAnsi="宋体" w:cs="宋体"/>
          <w:sz w:val="24"/>
          <w:highlight w:val="none"/>
        </w:rPr>
      </w:pPr>
      <w:r>
        <w:rPr>
          <w:rFonts w:hint="eastAsia" w:ascii="宋体" w:hAnsi="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C767E7">
      <w:pPr>
        <w:spacing w:line="360" w:lineRule="auto"/>
        <w:ind w:left="720" w:hanging="720" w:hangingChars="300"/>
        <w:rPr>
          <w:rFonts w:ascii="宋体" w:hAnsi="宋体" w:cs="宋体"/>
          <w:sz w:val="24"/>
          <w:highlight w:val="none"/>
        </w:rPr>
      </w:pPr>
      <w:r>
        <w:rPr>
          <w:rFonts w:hint="eastAsia" w:ascii="宋体" w:hAnsi="宋体" w:cs="宋体"/>
          <w:sz w:val="24"/>
          <w:highlight w:val="none"/>
        </w:rPr>
        <w:t>5.6.3最后报价是供应商响应文件的有效组成部分，且以最后报价为准。大写金额和小写金额不一致的，以大写金额为准；报价有算术错误的，其风险由供应商承担。</w:t>
      </w:r>
    </w:p>
    <w:p w14:paraId="666D2BB0">
      <w:pPr>
        <w:spacing w:line="360" w:lineRule="auto"/>
        <w:ind w:left="720" w:hanging="720" w:hangingChars="300"/>
        <w:rPr>
          <w:rFonts w:ascii="宋体" w:hAnsi="宋体" w:cs="宋体"/>
          <w:b/>
          <w:sz w:val="24"/>
          <w:highlight w:val="none"/>
        </w:rPr>
      </w:pPr>
      <w:r>
        <w:rPr>
          <w:rFonts w:hint="eastAsia" w:ascii="宋体" w:hAnsi="宋体" w:cs="宋体"/>
          <w:sz w:val="24"/>
          <w:highlight w:val="none"/>
        </w:rPr>
        <w:t>5.6.4</w:t>
      </w:r>
      <w:r>
        <w:rPr>
          <w:rFonts w:hint="eastAsia" w:ascii="宋体" w:hAnsi="宋体" w:cs="宋体"/>
          <w:b/>
          <w:sz w:val="24"/>
          <w:highlight w:val="none"/>
        </w:rPr>
        <w:t>已提交响应文件的供应商，在提交最后报价之前，可以根据磋商情况退出磋商，退出磋商不视为撤回响应文件，退出磋商不影响退出磋商的供应商对已经递交的响应文件承担法律、法规和采购文件中规定的相应责任。</w:t>
      </w:r>
    </w:p>
    <w:p w14:paraId="11F2869C">
      <w:pPr>
        <w:spacing w:line="360" w:lineRule="auto"/>
        <w:ind w:left="720" w:hanging="720" w:hangingChars="300"/>
        <w:rPr>
          <w:rFonts w:ascii="宋体" w:hAnsi="宋体" w:cs="宋体"/>
          <w:sz w:val="24"/>
          <w:highlight w:val="none"/>
        </w:rPr>
      </w:pPr>
      <w:r>
        <w:rPr>
          <w:rFonts w:hint="eastAsia" w:ascii="宋体" w:hAnsi="宋体" w:cs="宋体"/>
          <w:sz w:val="24"/>
          <w:highlight w:val="none"/>
        </w:rPr>
        <w:t>5.6.5</w:t>
      </w:r>
      <w:r>
        <w:rPr>
          <w:rFonts w:hint="eastAsia" w:ascii="宋体" w:hAnsi="宋体" w:cs="宋体"/>
          <w:kern w:val="0"/>
          <w:sz w:val="24"/>
          <w:highlight w:val="none"/>
        </w:rPr>
        <w:t>磋商小组</w:t>
      </w:r>
      <w:r>
        <w:rPr>
          <w:rFonts w:hint="eastAsia" w:ascii="宋体" w:hAnsi="宋体" w:cs="宋体"/>
          <w:sz w:val="24"/>
          <w:highlight w:val="none"/>
        </w:rPr>
        <w:t>认为某供应商的报价明显低于其他通过符合性审查供应商的报价，有可能影响产品质量或者不能诚信履约的，磋商小组将通过交易系统向该供应商发出通知，要求该供应商通过交易系统提供书面说明，并提交相关证明材料，</w:t>
      </w:r>
      <w:r>
        <w:rPr>
          <w:rFonts w:hint="eastAsia" w:ascii="宋体" w:hAnsi="宋体" w:cs="宋体"/>
          <w:kern w:val="0"/>
          <w:sz w:val="24"/>
          <w:highlight w:val="none"/>
        </w:rPr>
        <w:t>供应商不能证明其报价合理性的，磋商小组将</w:t>
      </w:r>
      <w:r>
        <w:rPr>
          <w:rFonts w:hint="eastAsia" w:ascii="宋体" w:hAnsi="宋体" w:cs="宋体"/>
          <w:sz w:val="24"/>
          <w:highlight w:val="none"/>
        </w:rPr>
        <w:t>其响应文件作为</w:t>
      </w:r>
      <w:r>
        <w:rPr>
          <w:rFonts w:hint="eastAsia" w:ascii="宋体" w:hAnsi="宋体" w:cs="宋体"/>
          <w:b/>
          <w:bCs/>
          <w:sz w:val="24"/>
          <w:highlight w:val="none"/>
        </w:rPr>
        <w:t>无效响应文件处理</w:t>
      </w:r>
      <w:r>
        <w:rPr>
          <w:rFonts w:hint="eastAsia" w:ascii="宋体" w:hAnsi="宋体" w:cs="宋体"/>
          <w:sz w:val="24"/>
          <w:highlight w:val="none"/>
        </w:rPr>
        <w:t>。</w:t>
      </w:r>
    </w:p>
    <w:p w14:paraId="2091C4CC">
      <w:pPr>
        <w:adjustRightInd w:val="0"/>
        <w:snapToGrid w:val="0"/>
        <w:spacing w:line="360" w:lineRule="auto"/>
        <w:ind w:left="630" w:leftChars="300"/>
        <w:rPr>
          <w:rFonts w:ascii="宋体" w:hAnsi="宋体" w:cs="宋体"/>
          <w:sz w:val="24"/>
          <w:highlight w:val="none"/>
        </w:rPr>
      </w:pPr>
      <w:bookmarkStart w:id="394" w:name="_Hlk87022484"/>
      <w:r>
        <w:rPr>
          <w:rFonts w:hint="eastAsia" w:ascii="宋体" w:hAnsi="宋体" w:cs="宋体"/>
          <w:sz w:val="24"/>
          <w:highlight w:val="none"/>
        </w:rPr>
        <w:t>供应商的书面说明材料包含</w:t>
      </w:r>
      <w:r>
        <w:rPr>
          <w:rFonts w:hint="eastAsia" w:ascii="宋体" w:hAnsi="宋体" w:cs="宋体"/>
          <w:b/>
          <w:bCs/>
          <w:sz w:val="24"/>
          <w:highlight w:val="none"/>
        </w:rPr>
        <w:t>货物/服务</w:t>
      </w:r>
      <w:r>
        <w:rPr>
          <w:rFonts w:hint="eastAsia" w:ascii="宋体" w:hAnsi="宋体" w:cs="宋体"/>
          <w:sz w:val="24"/>
          <w:highlight w:val="none"/>
        </w:rPr>
        <w:t>本身成本、人工费用、运输、税费等，以及最后报价不会影响产品质量或诚信履约能力的说明等。</w:t>
      </w:r>
    </w:p>
    <w:p w14:paraId="14FBB010">
      <w:pPr>
        <w:adjustRightInd w:val="0"/>
        <w:snapToGrid w:val="0"/>
        <w:spacing w:line="360" w:lineRule="auto"/>
        <w:ind w:left="630" w:leftChars="300"/>
        <w:rPr>
          <w:rFonts w:ascii="宋体" w:hAnsi="宋体" w:cs="宋体"/>
          <w:sz w:val="24"/>
          <w:highlight w:val="none"/>
        </w:rPr>
      </w:pPr>
      <w:r>
        <w:rPr>
          <w:rFonts w:hint="eastAsia" w:ascii="宋体" w:hAnsi="宋体" w:cs="宋体"/>
          <w:sz w:val="24"/>
          <w:highlight w:val="none"/>
        </w:rPr>
        <w:t>供应商的书面说明材料应当加盖供应商单位及法定代表人（或负责人）的电子签章，否则无效。</w:t>
      </w:r>
    </w:p>
    <w:bookmarkEnd w:id="394"/>
    <w:p w14:paraId="7182F362">
      <w:pPr>
        <w:adjustRightInd w:val="0"/>
        <w:snapToGrid w:val="0"/>
        <w:spacing w:line="360" w:lineRule="auto"/>
        <w:ind w:left="630" w:leftChars="300"/>
        <w:rPr>
          <w:rFonts w:ascii="宋体" w:hAnsi="宋体" w:cs="宋体"/>
          <w:sz w:val="24"/>
          <w:highlight w:val="none"/>
        </w:rPr>
      </w:pPr>
      <w:r>
        <w:rPr>
          <w:rFonts w:hint="eastAsia" w:ascii="宋体" w:hAnsi="宋体" w:cs="宋体"/>
          <w:sz w:val="24"/>
          <w:highlight w:val="none"/>
        </w:rPr>
        <w:t>供应商提供书面说明后，磋商小组应当结合采购项目采购需求、专业实际情况、 供应商财务状况、与其他供应商比较情况等就供应商的书面说明进行审查评价。供应商如有下列情况的，磋商小组将其响应文件作为无效处理：</w:t>
      </w:r>
    </w:p>
    <w:p w14:paraId="1EB7495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（1）拒绝或者变相拒绝提供有效书面说明；</w:t>
      </w:r>
    </w:p>
    <w:p w14:paraId="43A78F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（2）书面说明不能证明其报价合理性的；</w:t>
      </w:r>
    </w:p>
    <w:p w14:paraId="0DBE19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（3）书面说明或相关证明材料不被磋商小组认可的；</w:t>
      </w:r>
    </w:p>
    <w:p w14:paraId="0A3A9180">
      <w:pPr>
        <w:pStyle w:val="10"/>
        <w:spacing w:after="0" w:line="360" w:lineRule="auto"/>
        <w:ind w:firstLine="480" w:firstLineChars="200"/>
        <w:rPr>
          <w:rFonts w:ascii="宋体" w:hAnsi="宋体" w:cs="宋体"/>
          <w:sz w:val="24"/>
          <w:szCs w:val="24"/>
          <w:highlight w:val="none"/>
        </w:rPr>
      </w:pPr>
      <w:r>
        <w:rPr>
          <w:rFonts w:hint="eastAsia" w:ascii="宋体" w:hAnsi="宋体" w:cs="宋体"/>
          <w:sz w:val="24"/>
          <w:highlight w:val="none"/>
        </w:rPr>
        <w:t>（4）未在规定时间内提供书面说明或相关证明材料的。</w:t>
      </w:r>
    </w:p>
    <w:p w14:paraId="7A294491">
      <w:pPr>
        <w:pStyle w:val="4"/>
        <w:spacing w:before="0" w:after="0" w:line="360" w:lineRule="auto"/>
        <w:rPr>
          <w:rFonts w:ascii="宋体" w:hAnsi="宋体" w:cs="宋体"/>
          <w:b w:val="0"/>
          <w:bCs w:val="0"/>
          <w:sz w:val="24"/>
          <w:szCs w:val="24"/>
          <w:highlight w:val="none"/>
          <w:bdr w:val="single" w:color="auto" w:sz="4" w:space="0"/>
        </w:rPr>
      </w:pPr>
      <w:bookmarkStart w:id="395" w:name="_Toc4727"/>
      <w:bookmarkStart w:id="396" w:name="_Toc15048314"/>
      <w:bookmarkStart w:id="397" w:name="_Toc7059"/>
      <w:bookmarkStart w:id="398" w:name="_Toc532473475"/>
      <w:bookmarkStart w:id="399" w:name="_Toc515647783"/>
      <w:bookmarkStart w:id="400" w:name="_Toc15509"/>
      <w:bookmarkStart w:id="401" w:name="_Toc6092"/>
      <w:bookmarkStart w:id="402" w:name="_Toc4950"/>
      <w:r>
        <w:rPr>
          <w:rFonts w:hint="eastAsia" w:ascii="宋体" w:hAnsi="宋体" w:cs="宋体"/>
          <w:sz w:val="24"/>
          <w:szCs w:val="24"/>
          <w:highlight w:val="none"/>
        </w:rPr>
        <w:t>5.7 无效响应文件的规定</w:t>
      </w:r>
      <w:bookmarkEnd w:id="395"/>
      <w:bookmarkEnd w:id="396"/>
      <w:bookmarkEnd w:id="397"/>
      <w:bookmarkEnd w:id="398"/>
      <w:bookmarkEnd w:id="399"/>
      <w:bookmarkEnd w:id="400"/>
      <w:bookmarkEnd w:id="401"/>
      <w:bookmarkEnd w:id="402"/>
    </w:p>
    <w:p w14:paraId="2E7E9195">
      <w:pPr>
        <w:spacing w:line="360" w:lineRule="auto"/>
        <w:ind w:left="720" w:hanging="720" w:hangingChars="300"/>
        <w:rPr>
          <w:rFonts w:ascii="宋体" w:hAnsi="宋体" w:cs="宋体"/>
          <w:b/>
          <w:sz w:val="24"/>
          <w:highlight w:val="none"/>
        </w:rPr>
      </w:pPr>
      <w:r>
        <w:rPr>
          <w:rFonts w:hint="eastAsia" w:ascii="宋体" w:hAnsi="宋体" w:cs="宋体"/>
          <w:sz w:val="24"/>
          <w:highlight w:val="none"/>
        </w:rPr>
        <w:t>5.7.1 在评审之前，根据采购文件的规定，磋商小组将审查每份响应文件是否实质性响应了采购文件的要求。供应商不得通过修正或撤销不符合要求的偏离，从而使其响应文件成为实质上响应采购文件。</w:t>
      </w:r>
      <w:r>
        <w:rPr>
          <w:rFonts w:hint="eastAsia" w:ascii="宋体" w:hAnsi="宋体" w:cs="宋体"/>
          <w:b/>
          <w:sz w:val="24"/>
          <w:highlight w:val="none"/>
        </w:rPr>
        <w:t>磋商小组决定响应文件是否符合要求是否实质性响应只根据采购文件要求、响应文件内容及政府采购的相关法律法规、财政主管部门的相关文件。</w:t>
      </w:r>
    </w:p>
    <w:p w14:paraId="648845F6">
      <w:pPr>
        <w:spacing w:line="360" w:lineRule="auto"/>
        <w:ind w:left="720" w:hanging="720" w:hangingChars="300"/>
        <w:rPr>
          <w:rFonts w:ascii="宋体" w:hAnsi="宋体" w:cs="宋体"/>
          <w:b/>
          <w:sz w:val="24"/>
          <w:highlight w:val="none"/>
        </w:rPr>
      </w:pPr>
      <w:r>
        <w:rPr>
          <w:rFonts w:hint="eastAsia" w:ascii="宋体" w:hAnsi="宋体" w:cs="宋体"/>
          <w:sz w:val="24"/>
          <w:highlight w:val="none"/>
        </w:rPr>
        <w:t>5.7.2</w:t>
      </w:r>
      <w:r>
        <w:rPr>
          <w:rFonts w:hint="eastAsia" w:ascii="宋体" w:hAnsi="宋体" w:cs="宋体"/>
          <w:b/>
          <w:sz w:val="24"/>
          <w:highlight w:val="none"/>
        </w:rPr>
        <w:t>如果响应文件没有对采购文件的实质性要求进行响应，将作为无效响应处理，供应商不得再对响应文件进行任何修正从而使其响应成为实质上响应。</w:t>
      </w:r>
    </w:p>
    <w:p w14:paraId="0194BAD6">
      <w:pPr>
        <w:spacing w:line="360" w:lineRule="auto"/>
        <w:rPr>
          <w:rFonts w:ascii="宋体" w:hAnsi="宋体" w:cs="宋体"/>
          <w:sz w:val="24"/>
          <w:highlight w:val="none"/>
        </w:rPr>
      </w:pPr>
      <w:r>
        <w:rPr>
          <w:rFonts w:hint="eastAsia" w:ascii="宋体" w:hAnsi="宋体" w:cs="宋体"/>
          <w:sz w:val="24"/>
          <w:highlight w:val="none"/>
        </w:rPr>
        <w:t>5.7.3如发现下列情况之一的，其响应文件将被认定为无效响应文件：</w:t>
      </w:r>
    </w:p>
    <w:p w14:paraId="0B12FD38">
      <w:pPr>
        <w:spacing w:line="360" w:lineRule="auto"/>
        <w:rPr>
          <w:rFonts w:ascii="宋体" w:hAnsi="宋体" w:cs="宋体"/>
          <w:sz w:val="24"/>
          <w:highlight w:val="none"/>
        </w:rPr>
      </w:pPr>
      <w:r>
        <w:rPr>
          <w:rFonts w:hint="eastAsia" w:ascii="宋体" w:hAnsi="宋体" w:cs="宋体"/>
          <w:sz w:val="24"/>
          <w:highlight w:val="none"/>
        </w:rPr>
        <w:t>5.7.3.1 供应商未按磋商文件要求签字或加盖电子签章的；</w:t>
      </w:r>
    </w:p>
    <w:p w14:paraId="3DF607D2">
      <w:pPr>
        <w:spacing w:line="360" w:lineRule="auto"/>
        <w:rPr>
          <w:rFonts w:ascii="宋体" w:hAnsi="宋体" w:cs="宋体"/>
          <w:sz w:val="24"/>
          <w:highlight w:val="none"/>
        </w:rPr>
      </w:pPr>
      <w:r>
        <w:rPr>
          <w:rFonts w:hint="eastAsia" w:ascii="宋体" w:hAnsi="宋体" w:cs="宋体"/>
          <w:sz w:val="24"/>
          <w:highlight w:val="none"/>
        </w:rPr>
        <w:t>5.7.3.2供应商的报价超过了采购文件中规定的预算金额或者最高限价的；</w:t>
      </w:r>
    </w:p>
    <w:p w14:paraId="62D08E4E">
      <w:pPr>
        <w:spacing w:line="360" w:lineRule="auto"/>
        <w:rPr>
          <w:rFonts w:ascii="宋体" w:hAnsi="宋体" w:cs="宋体"/>
          <w:sz w:val="24"/>
          <w:highlight w:val="none"/>
        </w:rPr>
      </w:pPr>
      <w:r>
        <w:rPr>
          <w:rFonts w:hint="eastAsia" w:ascii="宋体" w:hAnsi="宋体" w:cs="宋体"/>
          <w:sz w:val="24"/>
          <w:highlight w:val="none"/>
        </w:rPr>
        <w:t>5.7.3.3不具备磋商文件中规定的资格要求的；</w:t>
      </w:r>
    </w:p>
    <w:p w14:paraId="3BC48410">
      <w:pPr>
        <w:spacing w:line="360" w:lineRule="auto"/>
        <w:rPr>
          <w:rFonts w:ascii="宋体" w:hAnsi="宋体" w:cs="宋体"/>
          <w:sz w:val="24"/>
          <w:highlight w:val="none"/>
        </w:rPr>
      </w:pPr>
      <w:r>
        <w:rPr>
          <w:rFonts w:hint="eastAsia" w:ascii="宋体" w:hAnsi="宋体" w:cs="宋体"/>
          <w:sz w:val="24"/>
          <w:highlight w:val="none"/>
        </w:rPr>
        <w:t xml:space="preserve">5.7.3.4报价不唯一，出现有选择的报价或替代方案的； </w:t>
      </w:r>
    </w:p>
    <w:p w14:paraId="743412D7">
      <w:pPr>
        <w:spacing w:line="360" w:lineRule="auto"/>
        <w:rPr>
          <w:rFonts w:ascii="宋体" w:hAnsi="宋体" w:cs="宋体"/>
          <w:sz w:val="24"/>
          <w:highlight w:val="none"/>
        </w:rPr>
      </w:pPr>
      <w:r>
        <w:rPr>
          <w:rFonts w:hint="eastAsia" w:ascii="宋体" w:hAnsi="宋体" w:cs="宋体"/>
          <w:sz w:val="24"/>
          <w:highlight w:val="none"/>
        </w:rPr>
        <w:t>5.7.3.5不同供应商递交的响应文件制作机器码一致的；</w:t>
      </w:r>
    </w:p>
    <w:p w14:paraId="5D292FD6">
      <w:pPr>
        <w:spacing w:line="360" w:lineRule="auto"/>
        <w:rPr>
          <w:rFonts w:ascii="宋体" w:hAnsi="宋体" w:cs="宋体"/>
          <w:sz w:val="24"/>
          <w:highlight w:val="none"/>
        </w:rPr>
      </w:pPr>
      <w:r>
        <w:rPr>
          <w:rFonts w:hint="eastAsia" w:ascii="宋体" w:hAnsi="宋体" w:cs="宋体"/>
          <w:sz w:val="24"/>
          <w:highlight w:val="none"/>
        </w:rPr>
        <w:t>5.7.3.6投标有效期不足的，交货期不满足采购文件要求的，质量保证期不满足采购文件要求的；</w:t>
      </w:r>
    </w:p>
    <w:p w14:paraId="12C550D4">
      <w:pPr>
        <w:spacing w:line="360" w:lineRule="auto"/>
        <w:rPr>
          <w:rFonts w:ascii="宋体" w:hAnsi="宋体" w:cs="宋体"/>
          <w:sz w:val="24"/>
          <w:highlight w:val="none"/>
        </w:rPr>
      </w:pPr>
      <w:r>
        <w:rPr>
          <w:rFonts w:hint="eastAsia" w:ascii="宋体" w:hAnsi="宋体" w:cs="宋体"/>
          <w:sz w:val="24"/>
          <w:highlight w:val="none"/>
        </w:rPr>
        <w:t>5.7.3.7 属于供应商之间串通，或者依法被视为供应商之间串通；</w:t>
      </w:r>
    </w:p>
    <w:p w14:paraId="614565EA">
      <w:pPr>
        <w:spacing w:line="360" w:lineRule="auto"/>
        <w:ind w:left="720" w:hanging="720" w:hangingChars="300"/>
        <w:rPr>
          <w:rFonts w:ascii="宋体" w:hAnsi="宋体" w:cs="宋体"/>
          <w:sz w:val="24"/>
          <w:highlight w:val="none"/>
        </w:rPr>
      </w:pPr>
      <w:r>
        <w:rPr>
          <w:rFonts w:hint="eastAsia" w:ascii="宋体" w:hAnsi="宋体" w:cs="宋体"/>
          <w:sz w:val="24"/>
          <w:highlight w:val="none"/>
        </w:rPr>
        <w:t>5.7.3.8磋商小组认为供应商的报价明显低于其他符合要求供应商的报价，有可能影响履约的，且供应商未按照磋商小组要求提供证明其报价合理性的相关材料；</w:t>
      </w:r>
    </w:p>
    <w:p w14:paraId="2041DCF3">
      <w:pPr>
        <w:spacing w:line="360" w:lineRule="auto"/>
        <w:rPr>
          <w:rFonts w:ascii="宋体" w:hAnsi="宋体" w:cs="宋体"/>
          <w:sz w:val="24"/>
          <w:highlight w:val="none"/>
        </w:rPr>
      </w:pPr>
      <w:r>
        <w:rPr>
          <w:rFonts w:hint="eastAsia" w:ascii="宋体" w:hAnsi="宋体" w:cs="宋体"/>
          <w:sz w:val="24"/>
          <w:highlight w:val="none"/>
        </w:rPr>
        <w:t>5.7.3.9响应文件含有采购人不能接受的附加条件的；</w:t>
      </w:r>
    </w:p>
    <w:p w14:paraId="27F60D81">
      <w:pPr>
        <w:spacing w:line="360" w:lineRule="auto"/>
        <w:rPr>
          <w:rFonts w:ascii="宋体" w:hAnsi="宋体" w:cs="宋体"/>
          <w:sz w:val="24"/>
          <w:highlight w:val="none"/>
        </w:rPr>
      </w:pPr>
      <w:r>
        <w:rPr>
          <w:rFonts w:hint="eastAsia" w:ascii="宋体" w:hAnsi="宋体" w:cs="宋体"/>
          <w:sz w:val="24"/>
          <w:highlight w:val="none"/>
        </w:rPr>
        <w:t>5.7.3.10属于法律、法规和采购文件中规定的其他无效响应情形的。</w:t>
      </w:r>
    </w:p>
    <w:p w14:paraId="3CE5E1CF">
      <w:pPr>
        <w:pStyle w:val="4"/>
        <w:spacing w:before="0" w:after="0" w:line="360" w:lineRule="auto"/>
        <w:rPr>
          <w:rFonts w:ascii="宋体" w:hAnsi="宋体" w:cs="宋体"/>
          <w:sz w:val="24"/>
          <w:szCs w:val="24"/>
          <w:highlight w:val="none"/>
        </w:rPr>
      </w:pPr>
      <w:bookmarkStart w:id="403" w:name="_Toc22941"/>
      <w:bookmarkStart w:id="404" w:name="_Toc15048315"/>
      <w:bookmarkStart w:id="405" w:name="_Toc515647784"/>
      <w:bookmarkStart w:id="406" w:name="_Toc26507"/>
      <w:bookmarkStart w:id="407" w:name="_Toc27647"/>
      <w:bookmarkStart w:id="408" w:name="_Toc532473476"/>
      <w:bookmarkStart w:id="409" w:name="_Toc9138"/>
      <w:bookmarkStart w:id="410" w:name="_Toc13652"/>
      <w:r>
        <w:rPr>
          <w:rFonts w:hint="eastAsia" w:ascii="宋体" w:hAnsi="宋体" w:cs="宋体"/>
          <w:sz w:val="24"/>
          <w:szCs w:val="24"/>
          <w:highlight w:val="none"/>
        </w:rPr>
        <w:t>5.8 响应文件的评审</w:t>
      </w:r>
      <w:bookmarkEnd w:id="403"/>
      <w:bookmarkEnd w:id="404"/>
      <w:bookmarkEnd w:id="405"/>
      <w:bookmarkEnd w:id="406"/>
      <w:bookmarkEnd w:id="407"/>
      <w:bookmarkEnd w:id="408"/>
      <w:bookmarkEnd w:id="409"/>
      <w:bookmarkEnd w:id="410"/>
    </w:p>
    <w:p w14:paraId="76A12C0A">
      <w:pPr>
        <w:spacing w:line="360" w:lineRule="auto"/>
        <w:ind w:left="720" w:hanging="720" w:hangingChars="300"/>
        <w:rPr>
          <w:rFonts w:ascii="宋体" w:hAnsi="宋体" w:cs="宋体"/>
          <w:sz w:val="24"/>
          <w:highlight w:val="none"/>
        </w:rPr>
      </w:pPr>
      <w:r>
        <w:rPr>
          <w:rFonts w:hint="eastAsia" w:ascii="宋体" w:hAnsi="宋体" w:cs="宋体"/>
          <w:sz w:val="24"/>
          <w:highlight w:val="none"/>
        </w:rPr>
        <w:t>5.8.1磋商小组成员将按照客观、公正、审慎的原则，根据采购文件规定的评审程序、评审方法和评审标准进行独立评审。经符合性审查合格的响应文件，磋商小组将对其技术部分和商务部分作进一步的评审。未实质性响应采购文件的响应文件按无效响应处理，磋商小组将告知提交响应文件的供应商。</w:t>
      </w:r>
    </w:p>
    <w:p w14:paraId="1A7D233E">
      <w:pPr>
        <w:pStyle w:val="10"/>
        <w:spacing w:after="0" w:line="360" w:lineRule="auto"/>
        <w:ind w:left="630" w:leftChars="300" w:firstLine="415"/>
        <w:rPr>
          <w:rFonts w:ascii="宋体" w:hAnsi="宋体" w:cs="宋体"/>
          <w:sz w:val="24"/>
          <w:szCs w:val="24"/>
          <w:highlight w:val="none"/>
        </w:rPr>
      </w:pPr>
      <w:r>
        <w:rPr>
          <w:rFonts w:hint="eastAsia" w:ascii="宋体" w:hAnsi="宋体" w:cs="宋体"/>
          <w:sz w:val="24"/>
          <w:szCs w:val="24"/>
          <w:highlight w:val="none"/>
        </w:rPr>
        <w:t>经磋商确定最终采购需求和提交最后报价的供应商后，由磋商小组采用综合评分法对提交最后报价的供应商的响应文件和最后报价进行综合评分。</w:t>
      </w:r>
    </w:p>
    <w:p w14:paraId="140C14A2">
      <w:pPr>
        <w:spacing w:line="360" w:lineRule="auto"/>
        <w:ind w:left="630" w:leftChars="300"/>
        <w:rPr>
          <w:rFonts w:ascii="宋体" w:hAnsi="宋体" w:cs="宋体"/>
          <w:sz w:val="24"/>
          <w:highlight w:val="none"/>
        </w:rPr>
      </w:pPr>
      <w:r>
        <w:rPr>
          <w:rFonts w:hint="eastAsia" w:ascii="宋体" w:hAnsi="宋体" w:cs="宋体"/>
          <w:kern w:val="0"/>
          <w:sz w:val="24"/>
          <w:highlight w:val="none"/>
        </w:rPr>
        <w:t>评审时，磋商小组各成员应当独立对每个有效响应的文件进行评价、打分，然后汇总每个供应商每项评分因素的得分。</w:t>
      </w:r>
      <w:r>
        <w:rPr>
          <w:rFonts w:hint="eastAsia" w:ascii="宋体" w:hAnsi="宋体" w:cs="宋体"/>
          <w:sz w:val="24"/>
          <w:highlight w:val="none"/>
        </w:rPr>
        <w:t>以磋商小组所有成员打分的算术平均值作为供应商的最终得分，按最终得分由高到低的顺序推荐成交候选人。分值计算保留小数点后两位，第三位四舍五入。</w:t>
      </w:r>
    </w:p>
    <w:p w14:paraId="377BA9EC">
      <w:pPr>
        <w:spacing w:line="360" w:lineRule="auto"/>
        <w:ind w:left="720" w:hanging="720" w:hangingChars="300"/>
        <w:rPr>
          <w:rFonts w:ascii="宋体" w:hAnsi="宋体" w:cs="宋体"/>
          <w:sz w:val="24"/>
          <w:highlight w:val="none"/>
        </w:rPr>
      </w:pPr>
      <w:r>
        <w:rPr>
          <w:rFonts w:hint="eastAsia" w:ascii="宋体" w:hAnsi="宋体" w:cs="宋体"/>
          <w:sz w:val="24"/>
          <w:highlight w:val="none"/>
        </w:rPr>
        <w:t>5.8.2 评审严格按照采购文件的要求和标准进行，采用综合评分法进行评审。详细评审标准见采购文件第五章；</w:t>
      </w:r>
    </w:p>
    <w:p w14:paraId="2B9A9017">
      <w:pPr>
        <w:spacing w:line="360" w:lineRule="auto"/>
        <w:ind w:left="630" w:leftChars="300"/>
        <w:rPr>
          <w:rFonts w:ascii="宋体" w:hAnsi="宋体" w:cs="宋体"/>
          <w:sz w:val="24"/>
          <w:highlight w:val="none"/>
        </w:rPr>
      </w:pPr>
      <w:r>
        <w:rPr>
          <w:rFonts w:hint="eastAsia" w:ascii="宋体" w:hAnsi="宋体" w:cs="宋体"/>
          <w:sz w:val="24"/>
          <w:highlight w:val="none"/>
        </w:rPr>
        <w:t>综合评分法，是指响应文件满足磋商文件全部实质性要求且按评审因素的量化 指标评审得分最高的供应商为成交候选供应商的评审方法。</w:t>
      </w:r>
    </w:p>
    <w:p w14:paraId="636976B0">
      <w:pPr>
        <w:pStyle w:val="4"/>
        <w:spacing w:before="0" w:after="0" w:line="360" w:lineRule="auto"/>
        <w:rPr>
          <w:rFonts w:ascii="宋体" w:hAnsi="宋体" w:cs="宋体"/>
          <w:sz w:val="24"/>
          <w:szCs w:val="24"/>
          <w:highlight w:val="none"/>
        </w:rPr>
      </w:pPr>
      <w:bookmarkStart w:id="411" w:name="_Toc27523"/>
      <w:bookmarkStart w:id="412" w:name="_Toc16844"/>
      <w:bookmarkStart w:id="413" w:name="_Toc18125"/>
      <w:r>
        <w:rPr>
          <w:rFonts w:hint="eastAsia" w:ascii="宋体" w:hAnsi="宋体" w:cs="宋体"/>
          <w:sz w:val="24"/>
          <w:szCs w:val="24"/>
          <w:highlight w:val="none"/>
        </w:rPr>
        <w:t>5.9 采购文件执行的政府采购政策</w:t>
      </w:r>
      <w:bookmarkEnd w:id="411"/>
      <w:bookmarkEnd w:id="412"/>
      <w:bookmarkEnd w:id="413"/>
    </w:p>
    <w:p w14:paraId="7C5445D4">
      <w:pPr>
        <w:spacing w:line="360" w:lineRule="auto"/>
        <w:rPr>
          <w:rFonts w:ascii="宋体" w:hAnsi="宋体" w:cs="宋体"/>
          <w:sz w:val="24"/>
          <w:highlight w:val="none"/>
        </w:rPr>
      </w:pPr>
      <w:bookmarkStart w:id="414" w:name="_Hlk56096905"/>
      <w:r>
        <w:rPr>
          <w:rFonts w:hint="eastAsia" w:ascii="宋体" w:hAnsi="宋体" w:cs="宋体"/>
          <w:sz w:val="24"/>
          <w:highlight w:val="none"/>
        </w:rPr>
        <w:t>5.9.1本项目需要执行的政府采购政策：详见采购文件第五章。</w:t>
      </w:r>
      <w:bookmarkEnd w:id="414"/>
    </w:p>
    <w:p w14:paraId="583F8D6A">
      <w:pPr>
        <w:pStyle w:val="4"/>
        <w:spacing w:before="0" w:after="0" w:line="360" w:lineRule="auto"/>
        <w:rPr>
          <w:rFonts w:ascii="宋体" w:hAnsi="宋体" w:cs="宋体"/>
          <w:sz w:val="24"/>
          <w:szCs w:val="24"/>
          <w:highlight w:val="none"/>
        </w:rPr>
      </w:pPr>
      <w:bookmarkStart w:id="415" w:name="_Toc15555"/>
      <w:bookmarkStart w:id="416" w:name="_Toc27429"/>
      <w:bookmarkStart w:id="417" w:name="_Toc18515"/>
      <w:r>
        <w:rPr>
          <w:rFonts w:hint="eastAsia" w:ascii="宋体" w:hAnsi="宋体" w:cs="宋体"/>
          <w:sz w:val="24"/>
          <w:szCs w:val="24"/>
          <w:highlight w:val="none"/>
        </w:rPr>
        <w:t>5.10终止本次磋商</w:t>
      </w:r>
      <w:bookmarkEnd w:id="415"/>
      <w:bookmarkEnd w:id="416"/>
      <w:bookmarkEnd w:id="417"/>
    </w:p>
    <w:p w14:paraId="2D4116D8">
      <w:pPr>
        <w:spacing w:line="360" w:lineRule="auto"/>
        <w:ind w:firstLine="480" w:firstLineChars="200"/>
        <w:rPr>
          <w:rFonts w:ascii="宋体" w:hAnsi="宋体" w:cs="宋体"/>
          <w:sz w:val="24"/>
          <w:highlight w:val="none"/>
        </w:rPr>
      </w:pPr>
      <w:r>
        <w:rPr>
          <w:rFonts w:hint="eastAsia" w:ascii="宋体" w:hAnsi="宋体" w:cs="宋体"/>
          <w:sz w:val="24"/>
          <w:highlight w:val="none"/>
        </w:rPr>
        <w:t>出现下列情形之一的，采购人或采购代理机构应当终止本次竞争性磋商。</w:t>
      </w:r>
    </w:p>
    <w:p w14:paraId="0B6D9BC2">
      <w:pPr>
        <w:spacing w:line="360" w:lineRule="auto"/>
        <w:ind w:firstLine="360" w:firstLineChars="150"/>
        <w:rPr>
          <w:rFonts w:ascii="宋体" w:hAnsi="宋体" w:cs="宋体"/>
          <w:sz w:val="24"/>
          <w:highlight w:val="none"/>
        </w:rPr>
      </w:pPr>
      <w:r>
        <w:rPr>
          <w:rFonts w:hint="eastAsia" w:ascii="宋体" w:hAnsi="宋体" w:cs="宋体"/>
          <w:sz w:val="24"/>
          <w:highlight w:val="none"/>
        </w:rPr>
        <w:t>（1）因情况变化，不再符合规定的竞争性磋商采购方式适用情形的；</w:t>
      </w:r>
    </w:p>
    <w:p w14:paraId="176282C5">
      <w:pPr>
        <w:spacing w:line="360" w:lineRule="auto"/>
        <w:ind w:firstLine="360" w:firstLineChars="150"/>
        <w:rPr>
          <w:rFonts w:ascii="宋体" w:hAnsi="宋体" w:cs="宋体"/>
          <w:sz w:val="24"/>
          <w:highlight w:val="none"/>
        </w:rPr>
      </w:pPr>
      <w:r>
        <w:rPr>
          <w:rFonts w:hint="eastAsia" w:ascii="宋体" w:hAnsi="宋体" w:cs="宋体"/>
          <w:sz w:val="24"/>
          <w:highlight w:val="none"/>
        </w:rPr>
        <w:t>（2）出现影响采购公正的违法、违规行为的；</w:t>
      </w:r>
    </w:p>
    <w:p w14:paraId="3820FA62">
      <w:pPr>
        <w:spacing w:line="360" w:lineRule="auto"/>
        <w:ind w:firstLine="360" w:firstLineChars="150"/>
        <w:rPr>
          <w:rFonts w:ascii="宋体" w:hAnsi="宋体" w:cs="宋体"/>
          <w:sz w:val="24"/>
          <w:highlight w:val="none"/>
        </w:rPr>
      </w:pPr>
      <w:r>
        <w:rPr>
          <w:rFonts w:hint="eastAsia" w:ascii="宋体" w:hAnsi="宋体" w:cs="宋体"/>
          <w:sz w:val="24"/>
          <w:highlight w:val="none"/>
        </w:rPr>
        <w:t>（3）在采购过程中符合要求的供应商不足3家的（特殊情况下为不足2的）。</w:t>
      </w:r>
    </w:p>
    <w:p w14:paraId="53B33614">
      <w:pPr>
        <w:spacing w:line="360" w:lineRule="auto"/>
        <w:ind w:firstLine="360" w:firstLineChars="150"/>
        <w:rPr>
          <w:rFonts w:ascii="宋体" w:hAnsi="宋体" w:cs="宋体"/>
          <w:sz w:val="24"/>
          <w:highlight w:val="none"/>
        </w:rPr>
      </w:pPr>
      <w:r>
        <w:rPr>
          <w:rFonts w:hint="eastAsia" w:ascii="宋体" w:hAnsi="宋体" w:cs="宋体"/>
          <w:sz w:val="24"/>
          <w:highlight w:val="none"/>
        </w:rPr>
        <w:t>（4）因重大变故，采购任务取消的。</w:t>
      </w:r>
    </w:p>
    <w:p w14:paraId="770EE3BA">
      <w:pPr>
        <w:pStyle w:val="4"/>
        <w:spacing w:before="0" w:after="0" w:line="360" w:lineRule="auto"/>
        <w:rPr>
          <w:rFonts w:ascii="宋体" w:hAnsi="宋体" w:cs="宋体"/>
          <w:sz w:val="24"/>
          <w:szCs w:val="24"/>
          <w:highlight w:val="none"/>
        </w:rPr>
      </w:pPr>
      <w:bookmarkStart w:id="418" w:name="_Toc24972"/>
      <w:bookmarkStart w:id="419" w:name="_Toc515647786"/>
      <w:bookmarkStart w:id="420" w:name="_Toc31289"/>
      <w:bookmarkStart w:id="421" w:name="_Toc15048317"/>
      <w:bookmarkStart w:id="422" w:name="_Toc24768"/>
      <w:bookmarkStart w:id="423" w:name="_Toc532473478"/>
      <w:bookmarkStart w:id="424" w:name="_Toc18432"/>
      <w:bookmarkStart w:id="425" w:name="_Toc12847"/>
      <w:bookmarkStart w:id="426" w:name="_Toc520356169"/>
      <w:r>
        <w:rPr>
          <w:rFonts w:hint="eastAsia" w:ascii="宋体" w:hAnsi="宋体" w:cs="宋体"/>
          <w:sz w:val="24"/>
          <w:szCs w:val="24"/>
          <w:highlight w:val="none"/>
        </w:rPr>
        <w:t>5.11保密</w:t>
      </w:r>
      <w:bookmarkEnd w:id="418"/>
      <w:bookmarkEnd w:id="419"/>
      <w:bookmarkEnd w:id="420"/>
      <w:r>
        <w:rPr>
          <w:rFonts w:hint="eastAsia" w:ascii="宋体" w:hAnsi="宋体" w:cs="宋体"/>
          <w:sz w:val="24"/>
          <w:szCs w:val="24"/>
          <w:highlight w:val="none"/>
        </w:rPr>
        <w:t>要求</w:t>
      </w:r>
      <w:bookmarkEnd w:id="421"/>
      <w:bookmarkEnd w:id="422"/>
      <w:bookmarkEnd w:id="423"/>
      <w:bookmarkEnd w:id="424"/>
      <w:bookmarkEnd w:id="425"/>
    </w:p>
    <w:p w14:paraId="4A4DCCA7">
      <w:pPr>
        <w:spacing w:line="360" w:lineRule="auto"/>
        <w:rPr>
          <w:rFonts w:ascii="宋体" w:hAnsi="宋体" w:cs="宋体"/>
          <w:sz w:val="24"/>
          <w:highlight w:val="none"/>
        </w:rPr>
      </w:pPr>
      <w:r>
        <w:rPr>
          <w:rFonts w:hint="eastAsia" w:ascii="宋体" w:hAnsi="宋体" w:cs="宋体"/>
          <w:sz w:val="24"/>
          <w:highlight w:val="none"/>
        </w:rPr>
        <w:t>5.11.1评审将在严格保密的情况下进行。</w:t>
      </w:r>
    </w:p>
    <w:p w14:paraId="740BE972">
      <w:pPr>
        <w:spacing w:line="360" w:lineRule="auto"/>
        <w:ind w:left="720" w:hanging="720" w:hangingChars="300"/>
        <w:rPr>
          <w:rFonts w:ascii="宋体" w:hAnsi="宋体" w:cs="宋体"/>
          <w:sz w:val="24"/>
          <w:highlight w:val="none"/>
        </w:rPr>
      </w:pPr>
      <w:r>
        <w:rPr>
          <w:rFonts w:hint="eastAsia" w:ascii="宋体" w:hAnsi="宋体" w:cs="宋体"/>
          <w:sz w:val="24"/>
          <w:highlight w:val="none"/>
        </w:rPr>
        <w:t>5.11.2 有关人员应当遵守评审工作纪律，不得泄露评审文件、评审情况和评审过程中获悉的国家秘密、商业秘密。</w:t>
      </w:r>
    </w:p>
    <w:bookmarkEnd w:id="426"/>
    <w:p w14:paraId="0E632F28">
      <w:pPr>
        <w:pStyle w:val="2"/>
        <w:spacing w:before="0" w:after="0" w:line="360" w:lineRule="auto"/>
        <w:rPr>
          <w:rFonts w:ascii="宋体" w:hAnsi="宋体" w:eastAsia="宋体" w:cs="宋体"/>
          <w:sz w:val="24"/>
          <w:highlight w:val="none"/>
        </w:rPr>
      </w:pPr>
      <w:bookmarkStart w:id="427" w:name="_Toc15048318"/>
      <w:bookmarkStart w:id="428" w:name="_Toc216582810"/>
      <w:bookmarkStart w:id="429" w:name="_Toc532473479"/>
      <w:bookmarkStart w:id="430" w:name="_Toc23904"/>
      <w:bookmarkStart w:id="431" w:name="_Toc12143"/>
      <w:bookmarkStart w:id="432" w:name="_Toc515647787"/>
      <w:bookmarkStart w:id="433" w:name="_Toc2064"/>
      <w:bookmarkStart w:id="434" w:name="_Toc32287"/>
      <w:bookmarkStart w:id="435" w:name="_Toc9536"/>
      <w:r>
        <w:rPr>
          <w:rFonts w:hint="eastAsia" w:ascii="宋体" w:hAnsi="宋体" w:eastAsia="宋体" w:cs="宋体"/>
          <w:sz w:val="24"/>
          <w:highlight w:val="none"/>
        </w:rPr>
        <w:t>6、确定成交</w:t>
      </w:r>
      <w:bookmarkEnd w:id="427"/>
      <w:bookmarkEnd w:id="428"/>
      <w:bookmarkEnd w:id="429"/>
      <w:bookmarkEnd w:id="430"/>
      <w:bookmarkEnd w:id="431"/>
      <w:bookmarkEnd w:id="432"/>
      <w:r>
        <w:rPr>
          <w:rFonts w:hint="eastAsia" w:ascii="宋体" w:hAnsi="宋体" w:eastAsia="宋体" w:cs="宋体"/>
          <w:sz w:val="24"/>
          <w:highlight w:val="none"/>
        </w:rPr>
        <w:t>供应商</w:t>
      </w:r>
      <w:bookmarkEnd w:id="433"/>
      <w:bookmarkEnd w:id="434"/>
      <w:bookmarkEnd w:id="435"/>
    </w:p>
    <w:p w14:paraId="65B3018D">
      <w:pPr>
        <w:pStyle w:val="4"/>
        <w:spacing w:before="0" w:after="0" w:line="360" w:lineRule="auto"/>
        <w:rPr>
          <w:rFonts w:ascii="宋体" w:hAnsi="宋体" w:cs="宋体"/>
          <w:sz w:val="24"/>
          <w:szCs w:val="24"/>
          <w:highlight w:val="none"/>
        </w:rPr>
      </w:pPr>
      <w:bookmarkStart w:id="436" w:name="_Toc520356170"/>
      <w:bookmarkStart w:id="437" w:name="_Toc532473480"/>
      <w:bookmarkStart w:id="438" w:name="_Toc23617"/>
      <w:bookmarkStart w:id="439" w:name="_Toc2250"/>
      <w:bookmarkStart w:id="440" w:name="_Toc32559"/>
      <w:bookmarkStart w:id="441" w:name="_Toc15048319"/>
      <w:bookmarkStart w:id="442" w:name="_Toc14000"/>
      <w:bookmarkStart w:id="443" w:name="_Toc515647788"/>
      <w:bookmarkStart w:id="444" w:name="_Toc23762"/>
      <w:bookmarkStart w:id="445" w:name="_Ref467307010"/>
      <w:r>
        <w:rPr>
          <w:rFonts w:hint="eastAsia" w:ascii="宋体" w:hAnsi="宋体" w:cs="宋体"/>
          <w:sz w:val="24"/>
          <w:szCs w:val="24"/>
          <w:highlight w:val="none"/>
        </w:rPr>
        <w:t>6.1 成交候选供应商的确定原则及标准</w:t>
      </w:r>
      <w:bookmarkEnd w:id="436"/>
      <w:bookmarkEnd w:id="437"/>
      <w:bookmarkEnd w:id="438"/>
      <w:bookmarkEnd w:id="439"/>
      <w:bookmarkEnd w:id="440"/>
      <w:bookmarkEnd w:id="441"/>
      <w:bookmarkEnd w:id="442"/>
      <w:bookmarkEnd w:id="443"/>
      <w:bookmarkEnd w:id="444"/>
      <w:bookmarkEnd w:id="445"/>
    </w:p>
    <w:p w14:paraId="31BDD3DB">
      <w:pPr>
        <w:spacing w:line="360" w:lineRule="auto"/>
        <w:ind w:left="720" w:hanging="720" w:hangingChars="300"/>
        <w:rPr>
          <w:rFonts w:ascii="宋体" w:hAnsi="宋体" w:cs="宋体"/>
          <w:sz w:val="24"/>
          <w:highlight w:val="none"/>
        </w:rPr>
      </w:pPr>
      <w:r>
        <w:rPr>
          <w:rFonts w:hint="eastAsia" w:ascii="宋体" w:hAnsi="宋体" w:cs="宋体"/>
          <w:sz w:val="24"/>
          <w:highlight w:val="none"/>
        </w:rPr>
        <w:t>6.1.1除第6.3条规定外，磋商结束后，除了算数修正和落实政府采购政策需进行的价格扣除外，不对供应商的最后报价进行任何调整。评审结果按照得分由高至低的顺序排序。得分相同的，按修正和扣除后的最后报价由低到高顺序排列。具体处理办法详见第五章评审方法。</w:t>
      </w:r>
    </w:p>
    <w:p w14:paraId="64FD611A">
      <w:pPr>
        <w:spacing w:line="360" w:lineRule="auto"/>
        <w:ind w:left="720" w:hanging="720" w:hangingChars="300"/>
        <w:rPr>
          <w:rFonts w:ascii="宋体" w:hAnsi="宋体" w:cs="宋体"/>
          <w:sz w:val="24"/>
          <w:highlight w:val="none"/>
        </w:rPr>
      </w:pPr>
      <w:r>
        <w:rPr>
          <w:rFonts w:hint="eastAsia" w:ascii="宋体" w:hAnsi="宋体" w:cs="宋体"/>
          <w:sz w:val="24"/>
          <w:highlight w:val="none"/>
        </w:rPr>
        <w:t>6.1.2磋商小组将按</w:t>
      </w:r>
      <w:r>
        <w:rPr>
          <w:rFonts w:hint="eastAsia" w:ascii="宋体" w:hAnsi="宋体" w:cs="宋体"/>
          <w:b/>
          <w:bCs/>
          <w:sz w:val="24"/>
          <w:highlight w:val="none"/>
          <w:u w:val="single"/>
        </w:rPr>
        <w:t>供应商须知表</w:t>
      </w:r>
      <w:r>
        <w:rPr>
          <w:rFonts w:hint="eastAsia" w:ascii="宋体" w:hAnsi="宋体" w:cs="宋体"/>
          <w:sz w:val="24"/>
          <w:highlight w:val="none"/>
        </w:rPr>
        <w:t>中规定的数量推荐成交候选供应商或按</w:t>
      </w:r>
      <w:r>
        <w:rPr>
          <w:rFonts w:hint="eastAsia" w:ascii="宋体" w:hAnsi="宋体" w:cs="宋体"/>
          <w:b/>
          <w:sz w:val="24"/>
          <w:highlight w:val="none"/>
          <w:u w:val="single"/>
        </w:rPr>
        <w:t>供应商须知前附表</w:t>
      </w:r>
      <w:r>
        <w:rPr>
          <w:rFonts w:hint="eastAsia" w:ascii="宋体" w:hAnsi="宋体" w:cs="宋体"/>
          <w:sz w:val="24"/>
          <w:highlight w:val="none"/>
        </w:rPr>
        <w:t>中规定，由磋商小组直接确定成交供应商。</w:t>
      </w:r>
    </w:p>
    <w:p w14:paraId="53ACA513">
      <w:pPr>
        <w:spacing w:line="360" w:lineRule="auto"/>
        <w:rPr>
          <w:rFonts w:ascii="宋体" w:hAnsi="宋体" w:cs="宋体"/>
          <w:sz w:val="24"/>
          <w:highlight w:val="none"/>
        </w:rPr>
      </w:pPr>
      <w:r>
        <w:rPr>
          <w:rFonts w:hint="eastAsia" w:ascii="宋体" w:hAnsi="宋体" w:cs="宋体"/>
          <w:sz w:val="24"/>
          <w:highlight w:val="none"/>
        </w:rPr>
        <w:t>6.1.3因推荐成交候选供应商名单产生其他问题，由磋商小组集体研究处理。</w:t>
      </w:r>
    </w:p>
    <w:p w14:paraId="638CE3BD">
      <w:pPr>
        <w:pStyle w:val="4"/>
        <w:tabs>
          <w:tab w:val="left" w:pos="900"/>
        </w:tabs>
        <w:spacing w:before="0" w:after="0" w:line="360" w:lineRule="auto"/>
        <w:rPr>
          <w:rFonts w:ascii="宋体" w:hAnsi="宋体" w:cs="宋体"/>
          <w:sz w:val="24"/>
          <w:szCs w:val="24"/>
          <w:highlight w:val="none"/>
        </w:rPr>
      </w:pPr>
      <w:bookmarkStart w:id="446" w:name="_Toc15048320"/>
      <w:bookmarkStart w:id="447" w:name="_Toc23951"/>
      <w:bookmarkStart w:id="448" w:name="_Toc532473481"/>
      <w:bookmarkStart w:id="449" w:name="_Toc29930"/>
      <w:bookmarkStart w:id="450" w:name="_Toc9653"/>
      <w:bookmarkStart w:id="451" w:name="_Toc2382"/>
      <w:bookmarkStart w:id="452" w:name="_Toc5346"/>
      <w:r>
        <w:rPr>
          <w:rFonts w:hint="eastAsia" w:ascii="宋体" w:hAnsi="宋体" w:cs="宋体"/>
          <w:sz w:val="24"/>
          <w:szCs w:val="24"/>
          <w:highlight w:val="none"/>
        </w:rPr>
        <w:t>6.2 确定成交供应商</w:t>
      </w:r>
      <w:bookmarkEnd w:id="446"/>
      <w:bookmarkEnd w:id="447"/>
      <w:bookmarkEnd w:id="448"/>
      <w:bookmarkEnd w:id="449"/>
      <w:bookmarkEnd w:id="450"/>
      <w:bookmarkEnd w:id="451"/>
      <w:bookmarkEnd w:id="452"/>
    </w:p>
    <w:p w14:paraId="5C9B6E24">
      <w:pPr>
        <w:spacing w:line="360" w:lineRule="auto"/>
        <w:ind w:left="720" w:hanging="720" w:hangingChars="300"/>
        <w:rPr>
          <w:rFonts w:ascii="宋体" w:hAnsi="宋体" w:cs="宋体"/>
          <w:sz w:val="24"/>
          <w:highlight w:val="none"/>
        </w:rPr>
      </w:pPr>
      <w:r>
        <w:rPr>
          <w:rFonts w:hint="eastAsia" w:ascii="宋体" w:hAnsi="宋体" w:cs="宋体"/>
          <w:sz w:val="24"/>
          <w:highlight w:val="none"/>
        </w:rPr>
        <w:t>6.2.1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w:t>
      </w:r>
      <w:r>
        <w:rPr>
          <w:rFonts w:hint="eastAsia" w:ascii="宋体" w:hAnsi="宋体" w:cs="宋体"/>
          <w:b/>
          <w:sz w:val="24"/>
          <w:highlight w:val="none"/>
          <w:u w:val="single"/>
        </w:rPr>
        <w:t>供应商须知表</w:t>
      </w:r>
      <w:r>
        <w:rPr>
          <w:rFonts w:hint="eastAsia" w:ascii="宋体" w:hAnsi="宋体" w:cs="宋体"/>
          <w:sz w:val="24"/>
          <w:highlight w:val="none"/>
        </w:rPr>
        <w:t>。</w:t>
      </w:r>
    </w:p>
    <w:p w14:paraId="599F8141">
      <w:pPr>
        <w:pStyle w:val="2"/>
        <w:spacing w:before="0" w:after="0" w:line="360" w:lineRule="auto"/>
        <w:rPr>
          <w:rFonts w:ascii="宋体" w:hAnsi="宋体" w:eastAsia="宋体" w:cs="宋体"/>
          <w:sz w:val="24"/>
          <w:highlight w:val="none"/>
        </w:rPr>
      </w:pPr>
      <w:bookmarkStart w:id="453" w:name="_Toc29265"/>
      <w:bookmarkStart w:id="454" w:name="_Toc2972"/>
      <w:bookmarkStart w:id="455" w:name="_Toc22669"/>
      <w:r>
        <w:rPr>
          <w:rFonts w:hint="eastAsia" w:ascii="宋体" w:hAnsi="宋体" w:eastAsia="宋体" w:cs="宋体"/>
          <w:sz w:val="24"/>
          <w:highlight w:val="none"/>
        </w:rPr>
        <w:t>7、采购任务取消</w:t>
      </w:r>
      <w:bookmarkEnd w:id="453"/>
      <w:bookmarkEnd w:id="454"/>
      <w:bookmarkEnd w:id="455"/>
    </w:p>
    <w:p w14:paraId="5EDC311F">
      <w:pPr>
        <w:spacing w:line="360" w:lineRule="auto"/>
        <w:ind w:left="480" w:hanging="480" w:hangingChars="200"/>
        <w:rPr>
          <w:rFonts w:ascii="宋体" w:hAnsi="宋体" w:cs="宋体"/>
          <w:sz w:val="24"/>
          <w:highlight w:val="none"/>
        </w:rPr>
      </w:pPr>
      <w:r>
        <w:rPr>
          <w:rFonts w:hint="eastAsia" w:ascii="宋体" w:hAnsi="宋体" w:cs="宋体"/>
          <w:sz w:val="24"/>
          <w:highlight w:val="none"/>
        </w:rPr>
        <w:t>7.1 因重大变故采购任务取消时，采购人有权拒绝任何供应商成交，且对受影响的供应商不承担任何责任。</w:t>
      </w:r>
    </w:p>
    <w:p w14:paraId="41117B7E">
      <w:pPr>
        <w:pStyle w:val="2"/>
        <w:spacing w:before="0" w:after="0" w:line="360" w:lineRule="auto"/>
        <w:rPr>
          <w:rFonts w:ascii="宋体" w:hAnsi="宋体" w:eastAsia="宋体" w:cs="宋体"/>
          <w:sz w:val="24"/>
          <w:highlight w:val="none"/>
        </w:rPr>
      </w:pPr>
      <w:bookmarkStart w:id="456" w:name="_Toc15048321"/>
      <w:bookmarkStart w:id="457" w:name="_Toc5461"/>
      <w:bookmarkStart w:id="458" w:name="_Toc25290"/>
      <w:bookmarkStart w:id="459" w:name="_Toc20726"/>
      <w:bookmarkStart w:id="460" w:name="_Toc520356174"/>
      <w:bookmarkStart w:id="461" w:name="_Toc31099"/>
      <w:bookmarkStart w:id="462" w:name="_Toc515647791"/>
      <w:bookmarkStart w:id="463" w:name="_Toc30170"/>
      <w:bookmarkStart w:id="464" w:name="_Toc532473483"/>
      <w:r>
        <w:rPr>
          <w:rFonts w:hint="eastAsia" w:ascii="宋体" w:hAnsi="宋体" w:eastAsia="宋体" w:cs="宋体"/>
          <w:sz w:val="24"/>
          <w:highlight w:val="none"/>
        </w:rPr>
        <w:t>8、发出成交通知书</w:t>
      </w:r>
      <w:bookmarkEnd w:id="456"/>
      <w:bookmarkEnd w:id="457"/>
      <w:bookmarkEnd w:id="458"/>
      <w:bookmarkEnd w:id="459"/>
    </w:p>
    <w:p w14:paraId="175E975E">
      <w:pPr>
        <w:spacing w:line="360" w:lineRule="auto"/>
        <w:ind w:left="480" w:hanging="480" w:hangingChars="200"/>
        <w:rPr>
          <w:rFonts w:ascii="宋体" w:hAnsi="宋体" w:cs="宋体"/>
          <w:sz w:val="24"/>
          <w:highlight w:val="none"/>
        </w:rPr>
      </w:pPr>
      <w:bookmarkStart w:id="465" w:name="_Hlk86907143"/>
      <w:r>
        <w:rPr>
          <w:rFonts w:hint="eastAsia" w:ascii="宋体" w:hAnsi="宋体" w:cs="宋体"/>
          <w:sz w:val="24"/>
          <w:highlight w:val="none"/>
        </w:rPr>
        <w:t>8.1 采购人或者采购代理机构应当在成交供应商确定之日起2个工作日内，在《河南省政府采购网》及其它相关网站公告成交结果，同时向成交供应商发出成交通知书，成交通知书是合同的组成部分。</w:t>
      </w:r>
      <w:bookmarkEnd w:id="465"/>
    </w:p>
    <w:bookmarkEnd w:id="460"/>
    <w:bookmarkEnd w:id="461"/>
    <w:bookmarkEnd w:id="462"/>
    <w:bookmarkEnd w:id="463"/>
    <w:bookmarkEnd w:id="464"/>
    <w:p w14:paraId="73AACC3D">
      <w:pPr>
        <w:pStyle w:val="2"/>
        <w:spacing w:before="0" w:after="0" w:line="360" w:lineRule="auto"/>
        <w:rPr>
          <w:rFonts w:ascii="宋体" w:hAnsi="宋体" w:eastAsia="宋体" w:cs="宋体"/>
          <w:sz w:val="24"/>
          <w:highlight w:val="none"/>
        </w:rPr>
      </w:pPr>
      <w:bookmarkStart w:id="466" w:name="_Toc2567"/>
      <w:bookmarkStart w:id="467" w:name="_Toc532473484"/>
      <w:bookmarkStart w:id="468" w:name="_Toc15048323"/>
      <w:bookmarkStart w:id="469" w:name="_Ref467306377"/>
      <w:bookmarkStart w:id="470" w:name="_Toc7779"/>
      <w:bookmarkStart w:id="471" w:name="_Ref467306978"/>
      <w:bookmarkStart w:id="472" w:name="_Ref467307062"/>
      <w:bookmarkStart w:id="473" w:name="_Toc515647792"/>
      <w:bookmarkStart w:id="474" w:name="_Toc520356175"/>
      <w:bookmarkStart w:id="475" w:name="_Toc790"/>
      <w:bookmarkStart w:id="476" w:name="_Toc12717"/>
      <w:bookmarkStart w:id="477" w:name="_Ref467307204"/>
      <w:bookmarkStart w:id="478" w:name="_Toc17132"/>
      <w:r>
        <w:rPr>
          <w:rFonts w:hint="eastAsia" w:ascii="宋体" w:hAnsi="宋体" w:eastAsia="宋体" w:cs="宋体"/>
          <w:sz w:val="24"/>
          <w:highlight w:val="none"/>
        </w:rPr>
        <w:t>9、签订合同</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52CA73B7">
      <w:pPr>
        <w:spacing w:line="360" w:lineRule="auto"/>
        <w:ind w:left="480" w:hanging="480" w:hangingChars="200"/>
        <w:rPr>
          <w:rFonts w:ascii="宋体" w:hAnsi="宋体" w:cs="宋体"/>
          <w:sz w:val="24"/>
          <w:highlight w:val="none"/>
        </w:rPr>
      </w:pPr>
      <w:r>
        <w:rPr>
          <w:rFonts w:hint="eastAsia" w:ascii="宋体" w:hAnsi="宋体" w:cs="宋体"/>
          <w:sz w:val="24"/>
          <w:highlight w:val="none"/>
        </w:rPr>
        <w:t>9.1成交供应商应当自发出成交通知书之日起 15 日内，按照采购文件确定的合同文本以及采购标的、规格型号、采购金额、采购数量、技术和服务要求等事项与采购人签订政府采购合同。</w:t>
      </w:r>
    </w:p>
    <w:p w14:paraId="6DE364D0">
      <w:pPr>
        <w:spacing w:line="360" w:lineRule="auto"/>
        <w:ind w:left="480" w:hanging="480" w:hangingChars="200"/>
        <w:rPr>
          <w:rFonts w:ascii="宋体" w:hAnsi="宋体" w:cs="宋体"/>
          <w:sz w:val="24"/>
          <w:highlight w:val="none"/>
        </w:rPr>
      </w:pPr>
      <w:r>
        <w:rPr>
          <w:rFonts w:hint="eastAsia" w:ascii="宋体" w:hAnsi="宋体" w:cs="宋体"/>
          <w:sz w:val="24"/>
          <w:highlight w:val="none"/>
        </w:rPr>
        <w:t>9.2除不可抗力等因素外，成交通知书发出后，采购人改变成交结果，或者成交供应商拒绝签订政府采购合同的，应当承担相应的法律责任。</w:t>
      </w:r>
    </w:p>
    <w:p w14:paraId="7CA49BFF">
      <w:pPr>
        <w:spacing w:line="360" w:lineRule="auto"/>
        <w:ind w:left="480" w:hanging="480" w:hangingChars="200"/>
        <w:rPr>
          <w:rFonts w:ascii="宋体" w:hAnsi="宋体" w:cs="宋体"/>
          <w:sz w:val="24"/>
          <w:highlight w:val="none"/>
        </w:rPr>
      </w:pPr>
      <w:r>
        <w:rPr>
          <w:rFonts w:hint="eastAsia" w:ascii="宋体" w:hAnsi="宋体" w:cs="宋体"/>
          <w:sz w:val="24"/>
          <w:highlight w:val="none"/>
        </w:rPr>
        <w:t>9.3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14:paraId="7EBD6E1A">
      <w:pPr>
        <w:spacing w:line="360" w:lineRule="auto"/>
        <w:ind w:left="480" w:hanging="480" w:hangingChars="200"/>
        <w:rPr>
          <w:rFonts w:ascii="宋体" w:hAnsi="宋体" w:cs="宋体"/>
          <w:sz w:val="24"/>
          <w:highlight w:val="none"/>
        </w:rPr>
      </w:pPr>
      <w:r>
        <w:rPr>
          <w:rFonts w:hint="eastAsia" w:ascii="宋体" w:hAnsi="宋体" w:cs="宋体"/>
          <w:sz w:val="24"/>
          <w:highlight w:val="none"/>
        </w:rPr>
        <w:t>9.4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14:paraId="47944C2B">
      <w:pPr>
        <w:spacing w:line="360" w:lineRule="auto"/>
        <w:ind w:left="480" w:hanging="480" w:hangingChars="200"/>
        <w:rPr>
          <w:rFonts w:ascii="宋体" w:hAnsi="宋体" w:cs="宋体"/>
          <w:sz w:val="24"/>
          <w:highlight w:val="none"/>
        </w:rPr>
      </w:pPr>
      <w:bookmarkStart w:id="479" w:name="_Toc520356176"/>
      <w:bookmarkStart w:id="480" w:name="_Ref467306425"/>
      <w:bookmarkStart w:id="481" w:name="_Ref467307090"/>
      <w:r>
        <w:rPr>
          <w:rFonts w:hint="eastAsia" w:ascii="宋体" w:hAnsi="宋体" w:cs="宋体"/>
          <w:sz w:val="24"/>
          <w:highlight w:val="none"/>
        </w:rPr>
        <w:t>9.5当出现法律法规规定的成交无效或成交结果无效情形时，采购人可以按照评审报告推荐的成交候选供应商名单排序，确定下一成交候选供应商为成交供应商，也可以重新开展政府采购活动。</w:t>
      </w:r>
    </w:p>
    <w:p w14:paraId="400FE2DB">
      <w:pPr>
        <w:pStyle w:val="2"/>
        <w:spacing w:before="0" w:after="0" w:line="360" w:lineRule="auto"/>
        <w:rPr>
          <w:rFonts w:ascii="宋体" w:hAnsi="宋体" w:eastAsia="宋体" w:cs="宋体"/>
          <w:sz w:val="24"/>
          <w:highlight w:val="none"/>
        </w:rPr>
      </w:pPr>
      <w:bookmarkStart w:id="482" w:name="_Toc532473485"/>
      <w:bookmarkStart w:id="483" w:name="_Toc21059"/>
      <w:bookmarkStart w:id="484" w:name="_Toc515647793"/>
      <w:bookmarkStart w:id="485" w:name="_Toc15048324"/>
      <w:bookmarkStart w:id="486" w:name="_Toc11723"/>
      <w:bookmarkStart w:id="487" w:name="_Toc22555"/>
      <w:bookmarkStart w:id="488" w:name="_Toc11050"/>
      <w:bookmarkStart w:id="489" w:name="_Toc14080"/>
      <w:r>
        <w:rPr>
          <w:rFonts w:hint="eastAsia" w:ascii="宋体" w:hAnsi="宋体" w:eastAsia="宋体" w:cs="宋体"/>
          <w:sz w:val="24"/>
          <w:highlight w:val="none"/>
        </w:rPr>
        <w:t>10、履约保证金</w:t>
      </w:r>
      <w:bookmarkEnd w:id="479"/>
      <w:bookmarkEnd w:id="480"/>
      <w:bookmarkEnd w:id="481"/>
      <w:bookmarkEnd w:id="482"/>
      <w:bookmarkEnd w:id="483"/>
      <w:bookmarkEnd w:id="484"/>
      <w:bookmarkEnd w:id="485"/>
      <w:bookmarkEnd w:id="486"/>
      <w:bookmarkEnd w:id="487"/>
      <w:bookmarkEnd w:id="488"/>
      <w:bookmarkEnd w:id="489"/>
    </w:p>
    <w:p w14:paraId="471013A1">
      <w:pPr>
        <w:spacing w:line="360" w:lineRule="auto"/>
        <w:ind w:left="480" w:hanging="480" w:hangingChars="200"/>
        <w:rPr>
          <w:rFonts w:ascii="宋体" w:hAnsi="宋体" w:cs="宋体"/>
          <w:sz w:val="24"/>
          <w:highlight w:val="none"/>
        </w:rPr>
      </w:pPr>
      <w:r>
        <w:rPr>
          <w:rFonts w:hint="eastAsia" w:ascii="宋体" w:hAnsi="宋体" w:cs="宋体"/>
          <w:sz w:val="24"/>
          <w:highlight w:val="none"/>
        </w:rPr>
        <w:t>10.1如果需要交纳履约保证金，成交供应商应按照供应商须知前附表中的规定向采购人提供履约保证金。经采购人同意，成交供应商也可以自愿采用其他履约保证金的提供方式。</w:t>
      </w:r>
    </w:p>
    <w:p w14:paraId="603F1759">
      <w:pPr>
        <w:spacing w:line="360" w:lineRule="auto"/>
        <w:ind w:left="480" w:hanging="480" w:hangingChars="200"/>
        <w:rPr>
          <w:rFonts w:ascii="宋体" w:hAnsi="宋体" w:cs="宋体"/>
          <w:sz w:val="24"/>
          <w:highlight w:val="none"/>
        </w:rPr>
      </w:pPr>
      <w:r>
        <w:rPr>
          <w:rFonts w:hint="eastAsia" w:ascii="宋体" w:hAnsi="宋体" w:cs="宋体"/>
          <w:sz w:val="24"/>
          <w:highlight w:val="none"/>
        </w:rPr>
        <w:t>10.</w:t>
      </w:r>
      <w:r>
        <w:rPr>
          <w:rFonts w:hint="eastAsia" w:ascii="宋体" w:hAnsi="宋体" w:cs="宋体"/>
          <w:sz w:val="24"/>
          <w:highlight w:val="none"/>
          <w:lang w:val="en-US" w:eastAsia="zh-CN"/>
        </w:rPr>
        <w:t>2</w:t>
      </w:r>
      <w:r>
        <w:rPr>
          <w:rFonts w:hint="eastAsia" w:ascii="宋体" w:hAnsi="宋体" w:cs="宋体"/>
          <w:sz w:val="24"/>
          <w:highlight w:val="none"/>
        </w:rPr>
        <w:t>如果成交供应商没有按照上述履约保证金的规定执行，将视为拒绝签订合同并放弃成交资格，应当按照《供应商参加磋商采购活动的承诺书》中的承诺向采购人和采购代理机构支付赔偿。在此情况下，采购人可确定下一成交候选供应商为成交供应商，也可以重新开展采购活动。</w:t>
      </w:r>
    </w:p>
    <w:p w14:paraId="45EE110B">
      <w:pPr>
        <w:pStyle w:val="2"/>
        <w:spacing w:before="0" w:after="0" w:line="360" w:lineRule="auto"/>
        <w:rPr>
          <w:rFonts w:ascii="宋体" w:hAnsi="宋体" w:eastAsia="宋体" w:cs="宋体"/>
          <w:sz w:val="24"/>
          <w:highlight w:val="none"/>
        </w:rPr>
      </w:pPr>
      <w:bookmarkStart w:id="490" w:name="_Toc2019"/>
      <w:bookmarkStart w:id="491" w:name="_Toc3314"/>
      <w:bookmarkStart w:id="492" w:name="_Toc2304"/>
      <w:bookmarkStart w:id="493" w:name="_Toc15048325"/>
      <w:bookmarkStart w:id="494" w:name="_Toc2583659"/>
      <w:r>
        <w:rPr>
          <w:rFonts w:hint="eastAsia" w:ascii="宋体" w:hAnsi="宋体" w:eastAsia="宋体" w:cs="宋体"/>
          <w:sz w:val="24"/>
          <w:highlight w:val="none"/>
        </w:rPr>
        <w:t>11、预付款</w:t>
      </w:r>
      <w:bookmarkEnd w:id="490"/>
      <w:bookmarkEnd w:id="491"/>
      <w:bookmarkEnd w:id="492"/>
      <w:bookmarkEnd w:id="493"/>
    </w:p>
    <w:p w14:paraId="3AD126FC">
      <w:pPr>
        <w:spacing w:line="360" w:lineRule="auto"/>
        <w:ind w:left="480" w:hanging="480" w:hangingChars="200"/>
        <w:rPr>
          <w:rFonts w:ascii="宋体" w:hAnsi="宋体" w:cs="宋体"/>
          <w:sz w:val="24"/>
          <w:highlight w:val="none"/>
        </w:rPr>
      </w:pPr>
      <w:r>
        <w:rPr>
          <w:rFonts w:hint="eastAsia" w:ascii="宋体" w:hAnsi="宋体" w:cs="宋体"/>
          <w:sz w:val="24"/>
          <w:highlight w:val="none"/>
        </w:rPr>
        <w:t>11.1预付款是在指政府采购合同签订后、履行前，采购人向成交供应商预先支付部分合同款项，预付款比例按照</w:t>
      </w:r>
      <w:r>
        <w:rPr>
          <w:rFonts w:hint="eastAsia" w:ascii="宋体" w:hAnsi="宋体" w:cs="宋体"/>
          <w:b/>
          <w:sz w:val="24"/>
          <w:highlight w:val="none"/>
          <w:u w:val="single"/>
        </w:rPr>
        <w:t>供应商须知前附表</w:t>
      </w:r>
      <w:r>
        <w:rPr>
          <w:rFonts w:hint="eastAsia" w:ascii="宋体" w:hAnsi="宋体" w:cs="宋体"/>
          <w:sz w:val="24"/>
          <w:highlight w:val="none"/>
        </w:rPr>
        <w:t>规定执行。</w:t>
      </w:r>
    </w:p>
    <w:p w14:paraId="5BC0BF64">
      <w:pPr>
        <w:spacing w:line="360" w:lineRule="auto"/>
        <w:ind w:left="480" w:hanging="480" w:hangingChars="200"/>
        <w:rPr>
          <w:rFonts w:ascii="宋体" w:hAnsi="宋体" w:cs="宋体"/>
          <w:sz w:val="24"/>
          <w:highlight w:val="none"/>
        </w:rPr>
      </w:pPr>
      <w:r>
        <w:rPr>
          <w:rFonts w:hint="eastAsia" w:ascii="宋体" w:hAnsi="宋体" w:cs="宋体"/>
          <w:sz w:val="24"/>
          <w:highlight w:val="none"/>
        </w:rPr>
        <w:t>11.2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保函等。</w:t>
      </w:r>
    </w:p>
    <w:p w14:paraId="794828EC">
      <w:pPr>
        <w:pStyle w:val="2"/>
        <w:spacing w:before="0" w:after="0" w:line="360" w:lineRule="auto"/>
        <w:rPr>
          <w:rFonts w:ascii="宋体" w:hAnsi="宋体" w:eastAsia="宋体" w:cs="宋体"/>
          <w:sz w:val="24"/>
          <w:highlight w:val="none"/>
        </w:rPr>
      </w:pPr>
      <w:bookmarkStart w:id="495" w:name="_Toc9083"/>
      <w:bookmarkStart w:id="496" w:name="_Toc24617"/>
      <w:bookmarkStart w:id="497" w:name="_Toc15048326"/>
      <w:bookmarkStart w:id="498" w:name="_Toc30969"/>
      <w:r>
        <w:rPr>
          <w:rFonts w:hint="eastAsia" w:ascii="宋体" w:hAnsi="宋体" w:eastAsia="宋体" w:cs="宋体"/>
          <w:sz w:val="24"/>
          <w:highlight w:val="none"/>
        </w:rPr>
        <w:t>12、采购代理服务费</w:t>
      </w:r>
      <w:bookmarkEnd w:id="494"/>
      <w:bookmarkEnd w:id="495"/>
      <w:bookmarkEnd w:id="496"/>
      <w:bookmarkEnd w:id="497"/>
      <w:bookmarkEnd w:id="498"/>
    </w:p>
    <w:p w14:paraId="4F15B8D4">
      <w:pPr>
        <w:spacing w:line="360" w:lineRule="auto"/>
        <w:ind w:firstLine="480" w:firstLineChars="200"/>
        <w:rPr>
          <w:rFonts w:ascii="宋体" w:hAnsi="宋体" w:cs="宋体"/>
          <w:sz w:val="24"/>
          <w:highlight w:val="none"/>
        </w:rPr>
      </w:pPr>
      <w:r>
        <w:rPr>
          <w:rFonts w:hint="eastAsia" w:ascii="宋体" w:hAnsi="宋体" w:cs="宋体"/>
          <w:sz w:val="24"/>
          <w:highlight w:val="none"/>
        </w:rPr>
        <w:t>成交供应商须按照</w:t>
      </w:r>
      <w:r>
        <w:rPr>
          <w:rFonts w:hint="eastAsia" w:ascii="宋体" w:hAnsi="宋体" w:cs="宋体"/>
          <w:b/>
          <w:sz w:val="24"/>
          <w:highlight w:val="none"/>
          <w:u w:val="single"/>
        </w:rPr>
        <w:t>供应商须知前附表</w:t>
      </w:r>
      <w:r>
        <w:rPr>
          <w:rFonts w:hint="eastAsia" w:ascii="宋体" w:hAnsi="宋体" w:cs="宋体"/>
          <w:sz w:val="24"/>
          <w:highlight w:val="none"/>
        </w:rPr>
        <w:t>的规定，向采购代理机构支付采购代理服务费。</w:t>
      </w:r>
    </w:p>
    <w:p w14:paraId="19CB7A49">
      <w:pPr>
        <w:pStyle w:val="2"/>
        <w:spacing w:before="0" w:after="0" w:line="360" w:lineRule="auto"/>
        <w:rPr>
          <w:rFonts w:ascii="宋体" w:hAnsi="宋体" w:eastAsia="宋体" w:cs="宋体"/>
          <w:sz w:val="24"/>
          <w:highlight w:val="none"/>
        </w:rPr>
      </w:pPr>
      <w:bookmarkStart w:id="499" w:name="_Toc2583660"/>
      <w:bookmarkStart w:id="500" w:name="_Toc15048327"/>
      <w:bookmarkStart w:id="501" w:name="_Toc9470"/>
      <w:bookmarkStart w:id="502" w:name="_Toc25868"/>
      <w:bookmarkStart w:id="503" w:name="_Toc4845"/>
      <w:bookmarkStart w:id="504" w:name="_Toc518923099"/>
      <w:r>
        <w:rPr>
          <w:rFonts w:hint="eastAsia" w:ascii="宋体" w:hAnsi="宋体" w:eastAsia="宋体" w:cs="宋体"/>
          <w:sz w:val="24"/>
          <w:highlight w:val="none"/>
        </w:rPr>
        <w:t>13、政府采购信用担保</w:t>
      </w:r>
      <w:bookmarkEnd w:id="499"/>
      <w:bookmarkEnd w:id="500"/>
      <w:bookmarkEnd w:id="501"/>
      <w:bookmarkEnd w:id="502"/>
      <w:bookmarkEnd w:id="503"/>
      <w:bookmarkEnd w:id="504"/>
    </w:p>
    <w:p w14:paraId="3D8F009D">
      <w:pPr>
        <w:spacing w:line="360" w:lineRule="auto"/>
        <w:rPr>
          <w:rFonts w:ascii="宋体" w:hAnsi="宋体" w:cs="宋体"/>
          <w:sz w:val="24"/>
          <w:highlight w:val="none"/>
        </w:rPr>
      </w:pPr>
      <w:r>
        <w:rPr>
          <w:rFonts w:hint="eastAsia" w:ascii="宋体" w:hAnsi="宋体" w:cs="宋体"/>
          <w:sz w:val="24"/>
          <w:highlight w:val="none"/>
        </w:rPr>
        <w:t>13.1本项目是否属于信用担保试点范围见</w:t>
      </w:r>
      <w:r>
        <w:rPr>
          <w:rFonts w:hint="eastAsia" w:ascii="宋体" w:hAnsi="宋体" w:cs="宋体"/>
          <w:b/>
          <w:sz w:val="24"/>
          <w:highlight w:val="none"/>
          <w:u w:val="single"/>
        </w:rPr>
        <w:t>供应商须知前附表</w:t>
      </w:r>
      <w:r>
        <w:rPr>
          <w:rFonts w:hint="eastAsia" w:ascii="宋体" w:hAnsi="宋体" w:cs="宋体"/>
          <w:sz w:val="24"/>
          <w:highlight w:val="none"/>
        </w:rPr>
        <w:t>。</w:t>
      </w:r>
    </w:p>
    <w:p w14:paraId="693BC4CA">
      <w:pPr>
        <w:spacing w:line="360" w:lineRule="auto"/>
        <w:ind w:left="480" w:hanging="480" w:hangingChars="200"/>
        <w:rPr>
          <w:rFonts w:ascii="宋体" w:hAnsi="宋体" w:cs="宋体"/>
          <w:sz w:val="24"/>
          <w:highlight w:val="none"/>
        </w:rPr>
      </w:pPr>
      <w:r>
        <w:rPr>
          <w:rFonts w:hint="eastAsia" w:ascii="宋体" w:hAnsi="宋体" w:cs="宋体"/>
          <w:sz w:val="24"/>
          <w:highlight w:val="none"/>
        </w:rPr>
        <w:t>13.2如属于政府采购信用担保试点范围内，中小型企业供应商可以自由按照财政部门的规定，采用履约担保和融资担保。</w:t>
      </w:r>
    </w:p>
    <w:p w14:paraId="2088D40C">
      <w:pPr>
        <w:spacing w:line="360" w:lineRule="auto"/>
        <w:rPr>
          <w:rFonts w:ascii="宋体" w:hAnsi="宋体" w:cs="宋体"/>
          <w:sz w:val="24"/>
          <w:highlight w:val="none"/>
        </w:rPr>
      </w:pPr>
      <w:r>
        <w:rPr>
          <w:rFonts w:hint="eastAsia" w:ascii="宋体" w:hAnsi="宋体" w:cs="宋体"/>
          <w:sz w:val="24"/>
          <w:highlight w:val="none"/>
        </w:rPr>
        <w:t>13.3供应商递交的履约担保函应符合本采购文件的规定。</w:t>
      </w:r>
    </w:p>
    <w:p w14:paraId="2514F4FA">
      <w:pPr>
        <w:spacing w:line="360" w:lineRule="auto"/>
        <w:rPr>
          <w:rFonts w:ascii="宋体" w:hAnsi="宋体" w:cs="宋体"/>
          <w:sz w:val="24"/>
          <w:highlight w:val="none"/>
        </w:rPr>
      </w:pPr>
      <w:r>
        <w:rPr>
          <w:rFonts w:hint="eastAsia" w:ascii="宋体" w:hAnsi="宋体" w:cs="宋体"/>
          <w:sz w:val="24"/>
          <w:highlight w:val="none"/>
        </w:rPr>
        <w:t>13.4成交供应商可以采取融资担保的形式为政府采购项目履约进行融资。</w:t>
      </w:r>
    </w:p>
    <w:p w14:paraId="2D511179">
      <w:pPr>
        <w:spacing w:line="360" w:lineRule="auto"/>
        <w:rPr>
          <w:rFonts w:ascii="宋体" w:hAnsi="宋体" w:cs="宋体"/>
          <w:sz w:val="24"/>
          <w:highlight w:val="none"/>
        </w:rPr>
      </w:pPr>
      <w:r>
        <w:rPr>
          <w:rFonts w:hint="eastAsia" w:ascii="宋体" w:hAnsi="宋体" w:cs="宋体"/>
          <w:sz w:val="24"/>
          <w:highlight w:val="none"/>
        </w:rPr>
        <w:t>13.5合格的政府采购专业信用担保机构见</w:t>
      </w:r>
      <w:r>
        <w:rPr>
          <w:rFonts w:hint="eastAsia" w:ascii="宋体" w:hAnsi="宋体" w:cs="宋体"/>
          <w:b/>
          <w:sz w:val="24"/>
          <w:highlight w:val="none"/>
          <w:u w:val="single"/>
        </w:rPr>
        <w:t>供应商须知前附表</w:t>
      </w:r>
      <w:r>
        <w:rPr>
          <w:rFonts w:hint="eastAsia" w:ascii="宋体" w:hAnsi="宋体" w:cs="宋体"/>
          <w:sz w:val="24"/>
          <w:highlight w:val="none"/>
        </w:rPr>
        <w:t>。</w:t>
      </w:r>
    </w:p>
    <w:p w14:paraId="2258FCE0">
      <w:pPr>
        <w:pStyle w:val="2"/>
        <w:spacing w:before="0" w:after="0" w:line="360" w:lineRule="auto"/>
        <w:rPr>
          <w:rFonts w:ascii="宋体" w:hAnsi="宋体" w:eastAsia="宋体" w:cs="宋体"/>
          <w:sz w:val="24"/>
          <w:highlight w:val="none"/>
        </w:rPr>
      </w:pPr>
      <w:bookmarkStart w:id="505" w:name="_Toc18049"/>
      <w:bookmarkStart w:id="506" w:name="_Toc14870"/>
      <w:bookmarkStart w:id="507" w:name="_Toc9099"/>
      <w:bookmarkStart w:id="508" w:name="_Toc518923102"/>
      <w:bookmarkStart w:id="509" w:name="_Toc15048330"/>
      <w:bookmarkStart w:id="510" w:name="_Toc2583663"/>
      <w:r>
        <w:rPr>
          <w:rFonts w:hint="eastAsia" w:ascii="宋体" w:hAnsi="宋体" w:eastAsia="宋体" w:cs="宋体"/>
          <w:sz w:val="24"/>
          <w:highlight w:val="none"/>
        </w:rPr>
        <w:t>14、质疑的提出与接收</w:t>
      </w:r>
      <w:bookmarkEnd w:id="505"/>
      <w:bookmarkEnd w:id="506"/>
      <w:bookmarkEnd w:id="507"/>
      <w:bookmarkEnd w:id="508"/>
      <w:bookmarkEnd w:id="509"/>
      <w:bookmarkEnd w:id="510"/>
    </w:p>
    <w:p w14:paraId="079BA85A">
      <w:pPr>
        <w:spacing w:line="360" w:lineRule="auto"/>
        <w:ind w:left="480" w:hanging="480" w:hangingChars="200"/>
        <w:rPr>
          <w:rFonts w:ascii="宋体" w:hAnsi="宋体" w:cs="宋体"/>
          <w:sz w:val="24"/>
          <w:highlight w:val="none"/>
        </w:rPr>
      </w:pPr>
      <w:r>
        <w:rPr>
          <w:rFonts w:hint="eastAsia" w:ascii="宋体" w:hAnsi="宋体" w:cs="宋体"/>
          <w:sz w:val="24"/>
          <w:highlight w:val="none"/>
        </w:rPr>
        <w:t>14.1供应商认为采购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14:paraId="6B2DEA27">
      <w:pPr>
        <w:spacing w:line="360" w:lineRule="auto"/>
        <w:ind w:left="480" w:hanging="480" w:hangingChars="200"/>
        <w:rPr>
          <w:rFonts w:ascii="宋体" w:hAnsi="宋体" w:cs="宋体"/>
          <w:sz w:val="24"/>
          <w:highlight w:val="none"/>
        </w:rPr>
      </w:pPr>
      <w:r>
        <w:rPr>
          <w:rFonts w:hint="eastAsia" w:ascii="宋体" w:hAnsi="宋体" w:cs="宋体"/>
          <w:sz w:val="24"/>
          <w:highlight w:val="none"/>
        </w:rPr>
        <w:t>14.2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14:paraId="66224C23">
      <w:pPr>
        <w:spacing w:line="360" w:lineRule="auto"/>
        <w:rPr>
          <w:rFonts w:ascii="宋体" w:hAnsi="宋体" w:cs="宋体"/>
          <w:sz w:val="24"/>
          <w:highlight w:val="none"/>
        </w:rPr>
      </w:pPr>
      <w:r>
        <w:rPr>
          <w:rFonts w:hint="eastAsia" w:ascii="宋体" w:hAnsi="宋体" w:cs="宋体"/>
          <w:sz w:val="24"/>
          <w:highlight w:val="none"/>
        </w:rPr>
        <w:t>14.3采购代理机构质疑函接收部门、联系电话和通讯地址, 见</w:t>
      </w:r>
      <w:r>
        <w:rPr>
          <w:rFonts w:hint="eastAsia" w:ascii="宋体" w:hAnsi="宋体" w:cs="宋体"/>
          <w:b/>
          <w:sz w:val="24"/>
          <w:highlight w:val="none"/>
          <w:u w:val="single"/>
        </w:rPr>
        <w:t>供应商须知表</w:t>
      </w:r>
      <w:r>
        <w:rPr>
          <w:rFonts w:hint="eastAsia" w:ascii="宋体" w:hAnsi="宋体" w:cs="宋体"/>
          <w:sz w:val="24"/>
          <w:highlight w:val="none"/>
        </w:rPr>
        <w:t>。</w:t>
      </w:r>
    </w:p>
    <w:p w14:paraId="0ACCDDF3">
      <w:pPr>
        <w:pStyle w:val="2"/>
        <w:spacing w:before="0" w:after="0" w:line="360" w:lineRule="auto"/>
        <w:rPr>
          <w:rFonts w:ascii="宋体" w:hAnsi="宋体" w:eastAsia="宋体" w:cs="宋体"/>
          <w:sz w:val="24"/>
          <w:highlight w:val="none"/>
        </w:rPr>
      </w:pPr>
      <w:bookmarkStart w:id="511" w:name="_Toc18180"/>
      <w:bookmarkStart w:id="512" w:name="_Toc31707"/>
      <w:bookmarkStart w:id="513" w:name="_Toc30767"/>
      <w:r>
        <w:rPr>
          <w:rFonts w:hint="eastAsia" w:ascii="宋体" w:hAnsi="宋体" w:eastAsia="宋体" w:cs="宋体"/>
          <w:sz w:val="24"/>
          <w:highlight w:val="none"/>
        </w:rPr>
        <w:t>15、知识产权</w:t>
      </w:r>
      <w:bookmarkEnd w:id="511"/>
      <w:bookmarkEnd w:id="512"/>
      <w:bookmarkEnd w:id="513"/>
    </w:p>
    <w:p w14:paraId="2D8041A2">
      <w:pPr>
        <w:tabs>
          <w:tab w:val="left" w:pos="360"/>
        </w:tabs>
        <w:spacing w:line="360" w:lineRule="auto"/>
        <w:ind w:left="420" w:leftChars="200"/>
        <w:rPr>
          <w:rFonts w:ascii="宋体" w:hAnsi="宋体" w:cs="宋体"/>
          <w:sz w:val="24"/>
          <w:highlight w:val="none"/>
        </w:rPr>
      </w:pPr>
      <w:r>
        <w:rPr>
          <w:rFonts w:hint="eastAsia" w:ascii="宋体" w:hAnsi="宋体" w:cs="宋体"/>
          <w:sz w:val="24"/>
          <w:highlight w:val="none"/>
        </w:rPr>
        <w:t>供应商须保证采购人在中华人民共和国境内使用供应商所提供的</w:t>
      </w:r>
      <w:r>
        <w:rPr>
          <w:rFonts w:hint="eastAsia" w:ascii="宋体" w:hAnsi="宋体" w:cs="宋体"/>
          <w:b/>
          <w:bCs/>
          <w:sz w:val="24"/>
          <w:highlight w:val="none"/>
        </w:rPr>
        <w:t>货物/服务</w:t>
      </w:r>
      <w:r>
        <w:rPr>
          <w:rFonts w:hint="eastAsia" w:ascii="宋体" w:hAnsi="宋体" w:cs="宋体"/>
          <w:sz w:val="24"/>
          <w:highlight w:val="none"/>
        </w:rPr>
        <w:t>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14:paraId="4EBCCBE1">
      <w:pPr>
        <w:pStyle w:val="2"/>
        <w:spacing w:before="0" w:after="0" w:line="360" w:lineRule="auto"/>
        <w:rPr>
          <w:rFonts w:ascii="宋体" w:hAnsi="宋体" w:eastAsia="宋体" w:cs="宋体"/>
          <w:sz w:val="24"/>
          <w:highlight w:val="none"/>
        </w:rPr>
      </w:pPr>
      <w:bookmarkStart w:id="514" w:name="_Toc9139"/>
      <w:bookmarkStart w:id="515" w:name="_Toc3415"/>
      <w:bookmarkStart w:id="516" w:name="_Toc20678"/>
      <w:r>
        <w:rPr>
          <w:rFonts w:hint="eastAsia" w:ascii="宋体" w:hAnsi="宋体" w:eastAsia="宋体" w:cs="宋体"/>
          <w:sz w:val="24"/>
          <w:highlight w:val="none"/>
        </w:rPr>
        <w:t>16、供应商的赔偿责任</w:t>
      </w:r>
      <w:bookmarkEnd w:id="514"/>
      <w:bookmarkEnd w:id="515"/>
      <w:bookmarkEnd w:id="516"/>
    </w:p>
    <w:p w14:paraId="0B591898">
      <w:pPr>
        <w:spacing w:line="360" w:lineRule="auto"/>
        <w:ind w:left="420" w:leftChars="200"/>
        <w:rPr>
          <w:rFonts w:ascii="宋体" w:hAnsi="宋体" w:cs="宋体"/>
          <w:sz w:val="24"/>
          <w:highlight w:val="none"/>
        </w:rPr>
      </w:pPr>
      <w:r>
        <w:rPr>
          <w:rFonts w:hint="eastAsia" w:ascii="宋体" w:hAnsi="宋体" w:cs="宋体"/>
          <w:sz w:val="24"/>
          <w:highlight w:val="none"/>
        </w:rPr>
        <w:t>有下列情形之一的，供应商应当向采购代理机构及采购人支付本项目预算金额（或最高限价）的2%的违约赔偿金。</w:t>
      </w:r>
    </w:p>
    <w:p w14:paraId="78A839DF">
      <w:pPr>
        <w:spacing w:line="360" w:lineRule="auto"/>
        <w:ind w:left="480" w:hanging="480" w:hangingChars="200"/>
        <w:rPr>
          <w:rFonts w:ascii="宋体" w:hAnsi="宋体" w:cs="宋体"/>
          <w:sz w:val="24"/>
          <w:highlight w:val="none"/>
        </w:rPr>
      </w:pPr>
      <w:r>
        <w:rPr>
          <w:rFonts w:hint="eastAsia" w:ascii="宋体" w:hAnsi="宋体" w:cs="宋体"/>
          <w:sz w:val="24"/>
          <w:highlight w:val="none"/>
        </w:rPr>
        <w:t>　　</w:t>
      </w:r>
      <w:bookmarkStart w:id="517" w:name="_Hlk57213870"/>
      <w:r>
        <w:rPr>
          <w:rFonts w:hint="eastAsia" w:ascii="宋体" w:hAnsi="宋体" w:cs="宋体"/>
          <w:sz w:val="24"/>
          <w:highlight w:val="none"/>
        </w:rPr>
        <w:t>（1）</w:t>
      </w:r>
      <w:bookmarkStart w:id="518" w:name="_Hlk57218625"/>
      <w:r>
        <w:rPr>
          <w:rFonts w:hint="eastAsia" w:ascii="宋体" w:hAnsi="宋体" w:cs="宋体"/>
          <w:sz w:val="24"/>
          <w:highlight w:val="none"/>
        </w:rPr>
        <w:t>供应商在提交响应文件截止时间后撤回（撤销）响应文件的（不包括在提交最后报价之前退出磋商的）；</w:t>
      </w:r>
      <w:bookmarkEnd w:id="517"/>
      <w:bookmarkEnd w:id="518"/>
    </w:p>
    <w:p w14:paraId="475EEEA4">
      <w:pPr>
        <w:spacing w:line="360" w:lineRule="auto"/>
        <w:rPr>
          <w:rFonts w:ascii="宋体" w:hAnsi="宋体" w:cs="宋体"/>
          <w:sz w:val="24"/>
          <w:highlight w:val="none"/>
        </w:rPr>
      </w:pPr>
      <w:r>
        <w:rPr>
          <w:rFonts w:hint="eastAsia" w:ascii="宋体" w:hAnsi="宋体" w:cs="宋体"/>
          <w:sz w:val="24"/>
          <w:highlight w:val="none"/>
        </w:rPr>
        <w:t>　　（2）供应商在响应文件中提供虚假材料的；</w:t>
      </w:r>
    </w:p>
    <w:p w14:paraId="4C7E71D0">
      <w:pPr>
        <w:spacing w:line="360" w:lineRule="auto"/>
        <w:ind w:left="720" w:hanging="720" w:hangingChars="300"/>
        <w:rPr>
          <w:rFonts w:ascii="宋体" w:hAnsi="宋体" w:cs="宋体"/>
          <w:sz w:val="24"/>
          <w:highlight w:val="none"/>
        </w:rPr>
      </w:pPr>
      <w:r>
        <w:rPr>
          <w:rFonts w:hint="eastAsia" w:ascii="宋体" w:hAnsi="宋体" w:cs="宋体"/>
          <w:sz w:val="24"/>
          <w:highlight w:val="none"/>
        </w:rPr>
        <w:t>　　（3）除因不可抗力或</w:t>
      </w:r>
      <w:bookmarkStart w:id="519" w:name="_Hlk57218662"/>
      <w:r>
        <w:rPr>
          <w:rFonts w:hint="eastAsia" w:ascii="宋体" w:hAnsi="宋体" w:cs="宋体"/>
          <w:sz w:val="24"/>
          <w:highlight w:val="none"/>
        </w:rPr>
        <w:t>采购</w:t>
      </w:r>
      <w:bookmarkEnd w:id="519"/>
      <w:r>
        <w:rPr>
          <w:rFonts w:hint="eastAsia" w:ascii="宋体" w:hAnsi="宋体" w:cs="宋体"/>
          <w:sz w:val="24"/>
          <w:highlight w:val="none"/>
        </w:rPr>
        <w:t>文件认可的情形以外，成交供应商不与采购人签订合同的；</w:t>
      </w:r>
    </w:p>
    <w:p w14:paraId="43DE54A2">
      <w:pPr>
        <w:spacing w:line="360" w:lineRule="auto"/>
        <w:rPr>
          <w:rFonts w:ascii="宋体" w:hAnsi="宋体" w:cs="宋体"/>
          <w:sz w:val="24"/>
          <w:highlight w:val="none"/>
        </w:rPr>
      </w:pPr>
      <w:r>
        <w:rPr>
          <w:rFonts w:hint="eastAsia" w:ascii="宋体" w:hAnsi="宋体" w:cs="宋体"/>
          <w:sz w:val="24"/>
          <w:highlight w:val="none"/>
        </w:rPr>
        <w:t>　　（4）供应商与采购人、其他供应商或者采购代理机构恶意串通的；</w:t>
      </w:r>
    </w:p>
    <w:p w14:paraId="3695CE0A">
      <w:pPr>
        <w:spacing w:line="360" w:lineRule="auto"/>
        <w:rPr>
          <w:rFonts w:ascii="宋体" w:hAnsi="宋体" w:cs="宋体"/>
          <w:sz w:val="24"/>
          <w:highlight w:val="none"/>
        </w:rPr>
      </w:pPr>
      <w:r>
        <w:rPr>
          <w:rFonts w:hint="eastAsia" w:ascii="宋体" w:hAnsi="宋体" w:cs="宋体"/>
          <w:sz w:val="24"/>
          <w:highlight w:val="none"/>
        </w:rPr>
        <w:t>　　（5）磋商文件规定的其他情形。</w:t>
      </w:r>
    </w:p>
    <w:p w14:paraId="1859A11C">
      <w:pPr>
        <w:pStyle w:val="2"/>
        <w:spacing w:before="0" w:after="0" w:line="360" w:lineRule="auto"/>
        <w:rPr>
          <w:rFonts w:ascii="宋体" w:hAnsi="宋体" w:eastAsia="宋体" w:cs="宋体"/>
          <w:sz w:val="24"/>
          <w:highlight w:val="none"/>
        </w:rPr>
      </w:pPr>
      <w:bookmarkStart w:id="520" w:name="_Toc518923100"/>
      <w:bookmarkStart w:id="521" w:name="_Toc5442"/>
      <w:bookmarkStart w:id="522" w:name="_Toc15048328"/>
      <w:bookmarkStart w:id="523" w:name="_Toc2583661"/>
      <w:bookmarkStart w:id="524" w:name="_Toc8780"/>
      <w:bookmarkStart w:id="525" w:name="_Toc24826"/>
      <w:r>
        <w:rPr>
          <w:rFonts w:hint="eastAsia" w:ascii="宋体" w:hAnsi="宋体" w:eastAsia="宋体" w:cs="宋体"/>
          <w:sz w:val="24"/>
          <w:highlight w:val="none"/>
        </w:rPr>
        <w:t>17、廉洁自律规定</w:t>
      </w:r>
      <w:bookmarkEnd w:id="520"/>
      <w:bookmarkEnd w:id="521"/>
      <w:bookmarkEnd w:id="522"/>
      <w:bookmarkEnd w:id="523"/>
      <w:bookmarkEnd w:id="524"/>
      <w:bookmarkEnd w:id="525"/>
    </w:p>
    <w:p w14:paraId="6B404C26">
      <w:pPr>
        <w:spacing w:line="360" w:lineRule="auto"/>
        <w:ind w:left="480" w:hanging="480" w:hangingChars="200"/>
        <w:rPr>
          <w:rFonts w:ascii="宋体" w:hAnsi="宋体" w:cs="宋体"/>
          <w:sz w:val="24"/>
          <w:highlight w:val="none"/>
        </w:rPr>
      </w:pPr>
      <w:r>
        <w:rPr>
          <w:rFonts w:hint="eastAsia" w:ascii="宋体" w:hAnsi="宋体" w:cs="宋体"/>
          <w:sz w:val="24"/>
          <w:highlight w:val="none"/>
        </w:rPr>
        <w:t>17.1采购代理机构工作人员不得以不正当手段获取政府采购代理业务，不得与采购人、供应商恶意串通操纵政府采购活动。</w:t>
      </w:r>
    </w:p>
    <w:p w14:paraId="01A99B44">
      <w:pPr>
        <w:spacing w:line="360" w:lineRule="auto"/>
        <w:ind w:left="480" w:hanging="480" w:hangingChars="200"/>
        <w:rPr>
          <w:rFonts w:ascii="宋体" w:hAnsi="宋体" w:cs="宋体"/>
          <w:sz w:val="24"/>
          <w:highlight w:val="none"/>
        </w:rPr>
      </w:pPr>
      <w:r>
        <w:rPr>
          <w:rFonts w:hint="eastAsia" w:ascii="宋体" w:hAnsi="宋体" w:cs="宋体"/>
          <w:sz w:val="24"/>
          <w:highlight w:val="none"/>
        </w:rPr>
        <w:t>17.2采购代理机构工作人员不得接受采购人或者供应商组织的宴请、旅游、娱乐，不得收受礼品、现金、有价证券等，不得向采购人或者供应商报销应当由个人承担的费用。</w:t>
      </w:r>
    </w:p>
    <w:p w14:paraId="74F9247C">
      <w:pPr>
        <w:pStyle w:val="2"/>
        <w:spacing w:before="0" w:after="0" w:line="360" w:lineRule="auto"/>
        <w:rPr>
          <w:rFonts w:ascii="宋体" w:hAnsi="宋体" w:eastAsia="宋体" w:cs="宋体"/>
          <w:sz w:val="24"/>
          <w:highlight w:val="none"/>
        </w:rPr>
      </w:pPr>
      <w:bookmarkStart w:id="526" w:name="_Toc2583662"/>
      <w:bookmarkStart w:id="527" w:name="_Toc21246"/>
      <w:bookmarkStart w:id="528" w:name="_Toc518923101"/>
      <w:bookmarkStart w:id="529" w:name="_Toc15048329"/>
      <w:bookmarkStart w:id="530" w:name="_Toc26734"/>
      <w:bookmarkStart w:id="531" w:name="_Toc28488"/>
      <w:r>
        <w:rPr>
          <w:rFonts w:hint="eastAsia" w:ascii="宋体" w:hAnsi="宋体" w:eastAsia="宋体" w:cs="宋体"/>
          <w:sz w:val="24"/>
          <w:highlight w:val="none"/>
        </w:rPr>
        <w:t>18、人员回避</w:t>
      </w:r>
      <w:bookmarkEnd w:id="526"/>
      <w:bookmarkEnd w:id="527"/>
      <w:bookmarkEnd w:id="528"/>
      <w:bookmarkEnd w:id="529"/>
      <w:bookmarkEnd w:id="530"/>
      <w:bookmarkEnd w:id="531"/>
    </w:p>
    <w:p w14:paraId="33859089">
      <w:pPr>
        <w:spacing w:line="360" w:lineRule="auto"/>
        <w:ind w:left="420" w:leftChars="200"/>
        <w:rPr>
          <w:rFonts w:ascii="宋体" w:hAnsi="宋体" w:cs="宋体"/>
          <w:sz w:val="24"/>
          <w:highlight w:val="none"/>
        </w:rPr>
      </w:pPr>
      <w:r>
        <w:rPr>
          <w:rFonts w:hint="eastAsia" w:ascii="宋体" w:hAnsi="宋体" w:cs="宋体"/>
          <w:sz w:val="24"/>
          <w:highlight w:val="none"/>
        </w:rPr>
        <w:t>供应商认为采购人员及其相关人员有法律法规所列与其他供应商有利害关系的，可以向采购人或采购代理机构书面提出回避申请，并说明理由。</w:t>
      </w:r>
    </w:p>
    <w:p w14:paraId="171DD998">
      <w:pPr>
        <w:pStyle w:val="2"/>
        <w:spacing w:before="0" w:after="0" w:line="360" w:lineRule="auto"/>
        <w:rPr>
          <w:rFonts w:ascii="宋体" w:hAnsi="宋体" w:eastAsia="宋体" w:cs="宋体"/>
          <w:sz w:val="24"/>
          <w:highlight w:val="none"/>
        </w:rPr>
      </w:pPr>
      <w:bookmarkStart w:id="532" w:name="_Toc34732664"/>
      <w:bookmarkStart w:id="533" w:name="_Toc25832449"/>
      <w:bookmarkStart w:id="534" w:name="_Toc14720"/>
      <w:bookmarkStart w:id="535" w:name="_Toc36564765"/>
      <w:bookmarkStart w:id="536" w:name="_Toc34732584"/>
      <w:bookmarkStart w:id="537" w:name="_Toc34733052"/>
      <w:bookmarkStart w:id="538" w:name="_Toc22997"/>
      <w:bookmarkStart w:id="539" w:name="_Toc40972840"/>
      <w:bookmarkStart w:id="540" w:name="_Toc22504"/>
      <w:r>
        <w:rPr>
          <w:rFonts w:hint="eastAsia" w:ascii="宋体" w:hAnsi="宋体" w:eastAsia="宋体" w:cs="宋体"/>
          <w:sz w:val="24"/>
          <w:highlight w:val="none"/>
        </w:rPr>
        <w:t>19、纪律和监督</w:t>
      </w:r>
      <w:bookmarkEnd w:id="532"/>
      <w:bookmarkEnd w:id="533"/>
      <w:bookmarkEnd w:id="534"/>
      <w:bookmarkEnd w:id="535"/>
      <w:bookmarkEnd w:id="536"/>
      <w:bookmarkEnd w:id="537"/>
      <w:bookmarkEnd w:id="538"/>
      <w:bookmarkEnd w:id="539"/>
      <w:bookmarkEnd w:id="540"/>
    </w:p>
    <w:p w14:paraId="16AA8074">
      <w:pPr>
        <w:keepNext/>
        <w:keepLines/>
        <w:spacing w:line="360" w:lineRule="auto"/>
        <w:outlineLvl w:val="2"/>
        <w:rPr>
          <w:rFonts w:ascii="宋体" w:hAnsi="宋体" w:cs="宋体"/>
          <w:b/>
          <w:sz w:val="24"/>
          <w:highlight w:val="none"/>
        </w:rPr>
      </w:pPr>
      <w:bookmarkStart w:id="541" w:name="_Toc34732585"/>
      <w:bookmarkStart w:id="542" w:name="_Toc4396"/>
      <w:bookmarkStart w:id="543" w:name="_Toc34733053"/>
      <w:bookmarkStart w:id="544" w:name="_Toc40972841"/>
      <w:bookmarkStart w:id="545" w:name="_Toc36564766"/>
      <w:bookmarkStart w:id="546" w:name="_Toc25097"/>
      <w:bookmarkStart w:id="547" w:name="_Toc8988"/>
      <w:bookmarkStart w:id="548" w:name="_Toc25832450"/>
      <w:r>
        <w:rPr>
          <w:rFonts w:hint="eastAsia" w:ascii="宋体" w:hAnsi="宋体" w:cs="宋体"/>
          <w:b/>
          <w:sz w:val="24"/>
          <w:highlight w:val="none"/>
        </w:rPr>
        <w:t>19.1对采购人的纪律要求</w:t>
      </w:r>
      <w:bookmarkEnd w:id="541"/>
      <w:bookmarkEnd w:id="542"/>
      <w:bookmarkEnd w:id="543"/>
      <w:bookmarkEnd w:id="544"/>
      <w:bookmarkEnd w:id="545"/>
      <w:bookmarkEnd w:id="546"/>
      <w:bookmarkEnd w:id="547"/>
      <w:bookmarkEnd w:id="548"/>
    </w:p>
    <w:p w14:paraId="28F09285">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采购人不得泄漏采购活动中应当保密的情况和资料，不得与供应商串通损害国家利益、社会公共利益或者他人合法权益。</w:t>
      </w:r>
    </w:p>
    <w:p w14:paraId="063A3BE1">
      <w:pPr>
        <w:keepNext/>
        <w:keepLines/>
        <w:spacing w:line="360" w:lineRule="auto"/>
        <w:outlineLvl w:val="2"/>
        <w:rPr>
          <w:rFonts w:ascii="宋体" w:hAnsi="宋体" w:cs="宋体"/>
          <w:b/>
          <w:sz w:val="24"/>
          <w:highlight w:val="none"/>
        </w:rPr>
      </w:pPr>
      <w:bookmarkStart w:id="549" w:name="_Toc25832451"/>
      <w:bookmarkStart w:id="550" w:name="_Toc29742"/>
      <w:bookmarkStart w:id="551" w:name="_Toc25260"/>
      <w:bookmarkStart w:id="552" w:name="_Toc36564767"/>
      <w:bookmarkStart w:id="553" w:name="_Toc34733054"/>
      <w:bookmarkStart w:id="554" w:name="_Toc17081"/>
      <w:bookmarkStart w:id="555" w:name="_Toc34732586"/>
      <w:bookmarkStart w:id="556" w:name="_Toc40972842"/>
      <w:r>
        <w:rPr>
          <w:rFonts w:hint="eastAsia" w:ascii="宋体" w:hAnsi="宋体" w:cs="宋体"/>
          <w:b/>
          <w:sz w:val="24"/>
          <w:highlight w:val="none"/>
        </w:rPr>
        <w:t>19.2对供应商的纪律要求</w:t>
      </w:r>
      <w:bookmarkEnd w:id="549"/>
      <w:bookmarkEnd w:id="550"/>
      <w:bookmarkEnd w:id="551"/>
      <w:bookmarkEnd w:id="552"/>
      <w:bookmarkEnd w:id="553"/>
      <w:bookmarkEnd w:id="554"/>
      <w:bookmarkEnd w:id="555"/>
      <w:bookmarkEnd w:id="556"/>
    </w:p>
    <w:p w14:paraId="3981BDE8">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供应商不得相互串通或者与采购人串通，不得向采购人或者磋商小组成员行贿谋取成交，不得以他人名义参加采购活动或者以其他方式弄虚作假骗取成交；供应商不得以任何方式干扰、影响采购工作。</w:t>
      </w:r>
    </w:p>
    <w:p w14:paraId="51B4FDBD">
      <w:pPr>
        <w:keepNext/>
        <w:keepLines/>
        <w:spacing w:line="360" w:lineRule="auto"/>
        <w:outlineLvl w:val="2"/>
        <w:rPr>
          <w:rFonts w:ascii="宋体" w:hAnsi="宋体" w:cs="宋体"/>
          <w:b/>
          <w:sz w:val="24"/>
          <w:highlight w:val="none"/>
        </w:rPr>
      </w:pPr>
      <w:bookmarkStart w:id="557" w:name="_Toc40972843"/>
      <w:bookmarkStart w:id="558" w:name="_Toc34733055"/>
      <w:bookmarkStart w:id="559" w:name="_Toc1722"/>
      <w:bookmarkStart w:id="560" w:name="_Toc30902"/>
      <w:bookmarkStart w:id="561" w:name="_Toc34732587"/>
      <w:bookmarkStart w:id="562" w:name="_Toc25832452"/>
      <w:bookmarkStart w:id="563" w:name="_Toc25400"/>
      <w:bookmarkStart w:id="564" w:name="_Toc36564768"/>
      <w:bookmarkStart w:id="565" w:name="_Hlk56617385"/>
      <w:r>
        <w:rPr>
          <w:rFonts w:hint="eastAsia" w:ascii="宋体" w:hAnsi="宋体" w:cs="宋体"/>
          <w:b/>
          <w:sz w:val="24"/>
          <w:highlight w:val="none"/>
        </w:rPr>
        <w:t>19.3对磋商小组成员的纪律要求</w:t>
      </w:r>
      <w:bookmarkEnd w:id="557"/>
      <w:bookmarkEnd w:id="558"/>
      <w:bookmarkEnd w:id="559"/>
      <w:bookmarkEnd w:id="560"/>
      <w:bookmarkEnd w:id="561"/>
      <w:bookmarkEnd w:id="562"/>
      <w:bookmarkEnd w:id="563"/>
      <w:bookmarkEnd w:id="564"/>
    </w:p>
    <w:p w14:paraId="308C4FB8">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磋商小组成员不得收受他人的财物或者其他好处，不得向他人透漏对响应文件的评审和比较、成交候选人的推荐情况以及评审有关的其他情况。在评审过程中，磋商小组成员不得擅离职守，影响评审程序正常进行，不得使用第五章“磋商程序、评审方法和标准”没有规定的评审因素和标准进行评审。</w:t>
      </w:r>
      <w:bookmarkEnd w:id="565"/>
    </w:p>
    <w:p w14:paraId="79E50C56">
      <w:pPr>
        <w:keepNext/>
        <w:keepLines/>
        <w:spacing w:line="360" w:lineRule="auto"/>
        <w:outlineLvl w:val="2"/>
        <w:rPr>
          <w:rFonts w:ascii="宋体" w:hAnsi="宋体" w:cs="宋体"/>
          <w:b/>
          <w:sz w:val="24"/>
          <w:highlight w:val="none"/>
        </w:rPr>
      </w:pPr>
      <w:bookmarkStart w:id="566" w:name="_Toc10905"/>
      <w:bookmarkStart w:id="567" w:name="_Toc36564769"/>
      <w:bookmarkStart w:id="568" w:name="_Toc3777"/>
      <w:bookmarkStart w:id="569" w:name="_Toc40972844"/>
      <w:bookmarkStart w:id="570" w:name="_Toc25832453"/>
      <w:bookmarkStart w:id="571" w:name="_Toc29833"/>
      <w:bookmarkStart w:id="572" w:name="_Toc34732588"/>
      <w:bookmarkStart w:id="573" w:name="_Toc34733056"/>
      <w:bookmarkStart w:id="574" w:name="_Hlk56617525"/>
      <w:r>
        <w:rPr>
          <w:rFonts w:hint="eastAsia" w:ascii="宋体" w:hAnsi="宋体" w:cs="宋体"/>
          <w:b/>
          <w:sz w:val="24"/>
          <w:highlight w:val="none"/>
        </w:rPr>
        <w:t>19.4对与评审活动有关的工作人员的纪律要求</w:t>
      </w:r>
      <w:bookmarkEnd w:id="566"/>
      <w:bookmarkEnd w:id="567"/>
      <w:bookmarkEnd w:id="568"/>
      <w:bookmarkEnd w:id="569"/>
      <w:bookmarkEnd w:id="570"/>
      <w:bookmarkEnd w:id="571"/>
      <w:bookmarkEnd w:id="572"/>
      <w:bookmarkEnd w:id="573"/>
    </w:p>
    <w:p w14:paraId="5F72EC7A">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与评审活动有关的工作人员不得收受他人的财物或者其他好处，不得向他人透漏对响应文件的评审和比较、成交候选人的推荐情况以及评审有关的其他情况。在评审过程中，与评审活动有关的工作人员不得擅离职守，影响评审程序正常进行。</w:t>
      </w:r>
    </w:p>
    <w:p w14:paraId="2C04EC39">
      <w:pPr>
        <w:pStyle w:val="2"/>
        <w:spacing w:before="0" w:after="0" w:line="360" w:lineRule="auto"/>
        <w:rPr>
          <w:rFonts w:ascii="宋体" w:hAnsi="宋体" w:eastAsia="宋体" w:cs="宋体"/>
          <w:sz w:val="24"/>
          <w:highlight w:val="none"/>
        </w:rPr>
      </w:pPr>
      <w:bookmarkStart w:id="575" w:name="_Toc7376"/>
      <w:bookmarkStart w:id="576" w:name="_Toc18706"/>
      <w:bookmarkStart w:id="577" w:name="_Toc21939"/>
      <w:r>
        <w:rPr>
          <w:rFonts w:hint="eastAsia" w:ascii="宋体" w:hAnsi="宋体" w:eastAsia="宋体" w:cs="宋体"/>
          <w:sz w:val="24"/>
          <w:highlight w:val="none"/>
        </w:rPr>
        <w:t>20、履约验收</w:t>
      </w:r>
      <w:bookmarkEnd w:id="575"/>
      <w:bookmarkEnd w:id="576"/>
      <w:bookmarkEnd w:id="577"/>
    </w:p>
    <w:p w14:paraId="162C7222">
      <w:pPr>
        <w:adjustRightInd w:val="0"/>
        <w:snapToGrid w:val="0"/>
        <w:spacing w:line="360" w:lineRule="auto"/>
        <w:ind w:firstLine="420"/>
        <w:rPr>
          <w:rFonts w:ascii="宋体" w:hAnsi="宋体" w:cs="宋体"/>
          <w:sz w:val="24"/>
          <w:highlight w:val="none"/>
        </w:rPr>
      </w:pPr>
      <w:r>
        <w:rPr>
          <w:rFonts w:hint="eastAsia" w:ascii="宋体" w:hAnsi="宋体" w:cs="宋体"/>
          <w:sz w:val="24"/>
          <w:highlight w:val="none"/>
        </w:rPr>
        <w:t>本项目采购人将严格按照政府采购相关法律法规的要求进行验收。</w:t>
      </w:r>
    </w:p>
    <w:p w14:paraId="382F57C8">
      <w:pPr>
        <w:pStyle w:val="2"/>
        <w:spacing w:before="0" w:after="0" w:line="360" w:lineRule="auto"/>
        <w:rPr>
          <w:rFonts w:ascii="宋体" w:hAnsi="宋体" w:eastAsia="宋体" w:cs="宋体"/>
          <w:sz w:val="24"/>
          <w:highlight w:val="none"/>
        </w:rPr>
      </w:pPr>
      <w:bookmarkStart w:id="578" w:name="_Toc24791"/>
      <w:bookmarkStart w:id="579" w:name="_Toc34733058"/>
      <w:bookmarkStart w:id="580" w:name="_Toc8595"/>
      <w:bookmarkStart w:id="581" w:name="_Toc36564771"/>
      <w:bookmarkStart w:id="582" w:name="_Toc40972846"/>
      <w:bookmarkStart w:id="583" w:name="_Toc34732590"/>
      <w:bookmarkStart w:id="584" w:name="_Toc25832455"/>
      <w:bookmarkStart w:id="585" w:name="_Toc34732665"/>
      <w:bookmarkStart w:id="586" w:name="_Toc22917"/>
      <w:r>
        <w:rPr>
          <w:rFonts w:hint="eastAsia" w:ascii="宋体" w:hAnsi="宋体" w:eastAsia="宋体" w:cs="宋体"/>
          <w:sz w:val="24"/>
          <w:highlight w:val="none"/>
        </w:rPr>
        <w:t>21、需要补充的其他内容</w:t>
      </w:r>
      <w:bookmarkEnd w:id="578"/>
      <w:bookmarkEnd w:id="579"/>
      <w:bookmarkEnd w:id="580"/>
      <w:bookmarkEnd w:id="581"/>
      <w:bookmarkEnd w:id="582"/>
      <w:bookmarkEnd w:id="583"/>
      <w:bookmarkEnd w:id="584"/>
      <w:bookmarkEnd w:id="585"/>
      <w:bookmarkEnd w:id="586"/>
    </w:p>
    <w:p w14:paraId="15E5D39B">
      <w:pPr>
        <w:pStyle w:val="21"/>
        <w:spacing w:line="360" w:lineRule="auto"/>
        <w:ind w:firstLine="560" w:firstLineChars="200"/>
        <w:jc w:val="center"/>
        <w:rPr>
          <w:rFonts w:cs="宋体"/>
          <w:sz w:val="21"/>
          <w:szCs w:val="21"/>
          <w:highlight w:val="none"/>
        </w:rPr>
      </w:pPr>
      <w:r>
        <w:rPr>
          <w:rFonts w:hint="eastAsia" w:cs="宋体"/>
          <w:sz w:val="28"/>
          <w:szCs w:val="28"/>
          <w:highlight w:val="none"/>
        </w:rPr>
        <w:t>中小微企业划分标准</w:t>
      </w:r>
    </w:p>
    <w:p w14:paraId="3B6B6F86">
      <w:pPr>
        <w:widowControl/>
        <w:spacing w:line="330" w:lineRule="atLeast"/>
        <w:jc w:val="center"/>
        <w:rPr>
          <w:rFonts w:ascii="宋体" w:hAnsi="宋体" w:cs="宋体"/>
          <w:kern w:val="0"/>
          <w:szCs w:val="21"/>
          <w:highlight w:val="none"/>
        </w:rPr>
      </w:pPr>
      <w:r>
        <w:rPr>
          <w:rFonts w:hint="eastAsia" w:ascii="宋体" w:hAnsi="宋体" w:cs="宋体"/>
          <w:kern w:val="0"/>
          <w:szCs w:val="21"/>
          <w:highlight w:val="none"/>
        </w:rPr>
        <w:t>统计上大中小微型企业划分标准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E8A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833B97C">
            <w:pPr>
              <w:widowControl/>
              <w:spacing w:line="240" w:lineRule="exact"/>
              <w:jc w:val="center"/>
              <w:rPr>
                <w:rFonts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vAlign w:val="center"/>
          </w:tcPr>
          <w:p w14:paraId="27430B2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vAlign w:val="center"/>
          </w:tcPr>
          <w:p w14:paraId="4400980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计量</w:t>
            </w:r>
          </w:p>
          <w:p w14:paraId="76F8A98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vAlign w:val="center"/>
          </w:tcPr>
          <w:p w14:paraId="5467993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vAlign w:val="center"/>
          </w:tcPr>
          <w:p w14:paraId="6501C21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vAlign w:val="center"/>
          </w:tcPr>
          <w:p w14:paraId="4D88CEB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vAlign w:val="center"/>
          </w:tcPr>
          <w:p w14:paraId="3F1C8030">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75D1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B79EAC8">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vAlign w:val="center"/>
          </w:tcPr>
          <w:p w14:paraId="5756669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5E6C6DF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A5004C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7A839E5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1426" w:type="dxa"/>
            <w:vAlign w:val="center"/>
          </w:tcPr>
          <w:p w14:paraId="3F50F6B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50≤Y＜500</w:t>
            </w:r>
          </w:p>
        </w:tc>
        <w:tc>
          <w:tcPr>
            <w:tcW w:w="992" w:type="dxa"/>
            <w:vAlign w:val="center"/>
          </w:tcPr>
          <w:p w14:paraId="6821927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1E16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771A7F">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vAlign w:val="center"/>
          </w:tcPr>
          <w:p w14:paraId="61FF805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2EDED23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7DB0B2F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29A82AF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2E2B481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vAlign w:val="center"/>
          </w:tcPr>
          <w:p w14:paraId="1C1EFB4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61BB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35E66">
            <w:pPr>
              <w:widowControl/>
              <w:jc w:val="left"/>
              <w:rPr>
                <w:rFonts w:ascii="宋体" w:hAnsi="宋体" w:cs="宋体"/>
                <w:kern w:val="0"/>
                <w:sz w:val="18"/>
                <w:szCs w:val="18"/>
                <w:highlight w:val="none"/>
              </w:rPr>
            </w:pPr>
          </w:p>
        </w:tc>
        <w:tc>
          <w:tcPr>
            <w:tcW w:w="1369" w:type="dxa"/>
            <w:vAlign w:val="center"/>
          </w:tcPr>
          <w:p w14:paraId="189550E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51BC37F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1DAB75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7B68F5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vAlign w:val="center"/>
          </w:tcPr>
          <w:p w14:paraId="2E7E411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300≤Y＜2000</w:t>
            </w:r>
          </w:p>
        </w:tc>
        <w:tc>
          <w:tcPr>
            <w:tcW w:w="992" w:type="dxa"/>
            <w:vAlign w:val="center"/>
          </w:tcPr>
          <w:p w14:paraId="51B003E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0CCE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47EE2A">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vAlign w:val="center"/>
          </w:tcPr>
          <w:p w14:paraId="6AE8322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482D94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56F68AB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vAlign w:val="center"/>
          </w:tcPr>
          <w:p w14:paraId="76924E4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vAlign w:val="center"/>
          </w:tcPr>
          <w:p w14:paraId="797FCFD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300≤Y＜6000</w:t>
            </w:r>
          </w:p>
        </w:tc>
        <w:tc>
          <w:tcPr>
            <w:tcW w:w="992" w:type="dxa"/>
            <w:vAlign w:val="center"/>
          </w:tcPr>
          <w:p w14:paraId="4E926D8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1DFA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103D1D2">
            <w:pPr>
              <w:widowControl/>
              <w:jc w:val="left"/>
              <w:rPr>
                <w:rFonts w:ascii="宋体" w:hAnsi="宋体" w:cs="宋体"/>
                <w:kern w:val="0"/>
                <w:sz w:val="18"/>
                <w:szCs w:val="18"/>
                <w:highlight w:val="none"/>
              </w:rPr>
            </w:pPr>
          </w:p>
        </w:tc>
        <w:tc>
          <w:tcPr>
            <w:tcW w:w="1369" w:type="dxa"/>
            <w:vAlign w:val="center"/>
          </w:tcPr>
          <w:p w14:paraId="6241B98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4977709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8A8E47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vAlign w:val="center"/>
          </w:tcPr>
          <w:p w14:paraId="3A14C1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vAlign w:val="center"/>
          </w:tcPr>
          <w:p w14:paraId="2163716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300≤Z＜5000</w:t>
            </w:r>
          </w:p>
        </w:tc>
        <w:tc>
          <w:tcPr>
            <w:tcW w:w="992" w:type="dxa"/>
            <w:vAlign w:val="center"/>
          </w:tcPr>
          <w:p w14:paraId="7A51EB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Z＜300</w:t>
            </w:r>
          </w:p>
        </w:tc>
      </w:tr>
      <w:tr w14:paraId="20A1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F92D45E">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vAlign w:val="center"/>
          </w:tcPr>
          <w:p w14:paraId="62EF797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59DED6A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25A953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2E2D65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vAlign w:val="center"/>
          </w:tcPr>
          <w:p w14:paraId="7A4EC81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5≤X＜20</w:t>
            </w:r>
          </w:p>
        </w:tc>
        <w:tc>
          <w:tcPr>
            <w:tcW w:w="992" w:type="dxa"/>
            <w:vAlign w:val="center"/>
          </w:tcPr>
          <w:p w14:paraId="15A023A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X＜5</w:t>
            </w:r>
          </w:p>
        </w:tc>
      </w:tr>
      <w:tr w14:paraId="7A81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560619">
            <w:pPr>
              <w:widowControl/>
              <w:jc w:val="left"/>
              <w:rPr>
                <w:rFonts w:ascii="宋体" w:hAnsi="宋体" w:cs="宋体"/>
                <w:kern w:val="0"/>
                <w:sz w:val="18"/>
                <w:szCs w:val="18"/>
                <w:highlight w:val="none"/>
              </w:rPr>
            </w:pPr>
          </w:p>
        </w:tc>
        <w:tc>
          <w:tcPr>
            <w:tcW w:w="1369" w:type="dxa"/>
            <w:vAlign w:val="center"/>
          </w:tcPr>
          <w:p w14:paraId="604325D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5D2D2F4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2F90CE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6DE04F4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vAlign w:val="center"/>
          </w:tcPr>
          <w:p w14:paraId="7F63A67E">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vAlign w:val="center"/>
          </w:tcPr>
          <w:p w14:paraId="2D7A999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4B55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414DEE">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vAlign w:val="center"/>
          </w:tcPr>
          <w:p w14:paraId="7DEADD5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A3E33E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160C6E4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4C6E8A6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vAlign w:val="center"/>
          </w:tcPr>
          <w:p w14:paraId="191B93CC">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vAlign w:val="center"/>
          </w:tcPr>
          <w:p w14:paraId="1AA45B8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F9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E0AAF5">
            <w:pPr>
              <w:widowControl/>
              <w:jc w:val="left"/>
              <w:rPr>
                <w:rFonts w:ascii="宋体" w:hAnsi="宋体" w:cs="宋体"/>
                <w:kern w:val="0"/>
                <w:sz w:val="18"/>
                <w:szCs w:val="18"/>
                <w:highlight w:val="none"/>
              </w:rPr>
            </w:pPr>
          </w:p>
        </w:tc>
        <w:tc>
          <w:tcPr>
            <w:tcW w:w="1369" w:type="dxa"/>
            <w:vAlign w:val="center"/>
          </w:tcPr>
          <w:p w14:paraId="6C7FCCA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4BFD520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17F7D1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7760FA9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1426" w:type="dxa"/>
            <w:vAlign w:val="center"/>
          </w:tcPr>
          <w:p w14:paraId="3100D1B5">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100≤Y＜500 </w:t>
            </w:r>
          </w:p>
        </w:tc>
        <w:tc>
          <w:tcPr>
            <w:tcW w:w="992" w:type="dxa"/>
            <w:vAlign w:val="center"/>
          </w:tcPr>
          <w:p w14:paraId="6F13357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A6F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4CAE75">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vAlign w:val="center"/>
          </w:tcPr>
          <w:p w14:paraId="58459B4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F681E4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20EEE9D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233C0C9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362641E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vAlign w:val="center"/>
          </w:tcPr>
          <w:p w14:paraId="37BE3AE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77FB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45E1B4">
            <w:pPr>
              <w:widowControl/>
              <w:jc w:val="left"/>
              <w:rPr>
                <w:rFonts w:ascii="宋体" w:hAnsi="宋体" w:cs="宋体"/>
                <w:kern w:val="0"/>
                <w:sz w:val="18"/>
                <w:szCs w:val="18"/>
                <w:highlight w:val="none"/>
              </w:rPr>
            </w:pPr>
          </w:p>
        </w:tc>
        <w:tc>
          <w:tcPr>
            <w:tcW w:w="1369" w:type="dxa"/>
            <w:vAlign w:val="center"/>
          </w:tcPr>
          <w:p w14:paraId="63E2F6D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52B0CD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567539B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35B1707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vAlign w:val="center"/>
          </w:tcPr>
          <w:p w14:paraId="5C2308A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200≤Y＜3000</w:t>
            </w:r>
          </w:p>
        </w:tc>
        <w:tc>
          <w:tcPr>
            <w:tcW w:w="992" w:type="dxa"/>
            <w:vAlign w:val="center"/>
          </w:tcPr>
          <w:p w14:paraId="6D86198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w:t>
            </w:r>
          </w:p>
        </w:tc>
      </w:tr>
      <w:tr w14:paraId="77B5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92194C">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vAlign w:val="center"/>
          </w:tcPr>
          <w:p w14:paraId="384E2A4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56ECD09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CE89C5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19CC3E61">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vAlign w:val="center"/>
          </w:tcPr>
          <w:p w14:paraId="39C9B7C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20≤X＜100</w:t>
            </w:r>
          </w:p>
        </w:tc>
        <w:tc>
          <w:tcPr>
            <w:tcW w:w="992" w:type="dxa"/>
            <w:vAlign w:val="center"/>
          </w:tcPr>
          <w:p w14:paraId="2BE1991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34A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777904">
            <w:pPr>
              <w:widowControl/>
              <w:jc w:val="left"/>
              <w:rPr>
                <w:rFonts w:ascii="宋体" w:hAnsi="宋体" w:cs="宋体"/>
                <w:kern w:val="0"/>
                <w:sz w:val="18"/>
                <w:szCs w:val="18"/>
                <w:highlight w:val="none"/>
              </w:rPr>
            </w:pPr>
          </w:p>
        </w:tc>
        <w:tc>
          <w:tcPr>
            <w:tcW w:w="1369" w:type="dxa"/>
            <w:vAlign w:val="center"/>
          </w:tcPr>
          <w:p w14:paraId="5DE7265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523FA5D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1B9D37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4DF8BC1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vAlign w:val="center"/>
          </w:tcPr>
          <w:p w14:paraId="2F34BAD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vAlign w:val="center"/>
          </w:tcPr>
          <w:p w14:paraId="007E3F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A92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27E4E2">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vAlign w:val="center"/>
          </w:tcPr>
          <w:p w14:paraId="70C6524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A8904E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1198DBA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08B83B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35E609D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vAlign w:val="center"/>
          </w:tcPr>
          <w:p w14:paraId="6FA2133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6252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981BC3">
            <w:pPr>
              <w:widowControl/>
              <w:jc w:val="left"/>
              <w:rPr>
                <w:rFonts w:ascii="宋体" w:hAnsi="宋体" w:cs="宋体"/>
                <w:kern w:val="0"/>
                <w:sz w:val="18"/>
                <w:szCs w:val="18"/>
                <w:highlight w:val="none"/>
              </w:rPr>
            </w:pPr>
          </w:p>
        </w:tc>
        <w:tc>
          <w:tcPr>
            <w:tcW w:w="1369" w:type="dxa"/>
            <w:vAlign w:val="center"/>
          </w:tcPr>
          <w:p w14:paraId="47CB157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394CE7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70F6B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4B1689D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vAlign w:val="center"/>
          </w:tcPr>
          <w:p w14:paraId="2F92A3E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vAlign w:val="center"/>
          </w:tcPr>
          <w:p w14:paraId="14457C1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4F4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FA80C2">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vAlign w:val="center"/>
          </w:tcPr>
          <w:p w14:paraId="35138EE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894733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25063D4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51F85CE1">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170C81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4CF8756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167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28C503">
            <w:pPr>
              <w:widowControl/>
              <w:jc w:val="left"/>
              <w:rPr>
                <w:rFonts w:ascii="宋体" w:hAnsi="宋体" w:cs="宋体"/>
                <w:kern w:val="0"/>
                <w:sz w:val="18"/>
                <w:szCs w:val="18"/>
                <w:highlight w:val="none"/>
              </w:rPr>
            </w:pPr>
          </w:p>
        </w:tc>
        <w:tc>
          <w:tcPr>
            <w:tcW w:w="1369" w:type="dxa"/>
            <w:vAlign w:val="center"/>
          </w:tcPr>
          <w:p w14:paraId="2B07CD9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4E0EE5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3C70787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30D84F6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35C5AE9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vAlign w:val="center"/>
          </w:tcPr>
          <w:p w14:paraId="3E7CE2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D1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808189">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vAlign w:val="center"/>
          </w:tcPr>
          <w:p w14:paraId="1741F84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3E379F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7E45E4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4B62D317">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529FCB4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10531BB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32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34364C">
            <w:pPr>
              <w:widowControl/>
              <w:jc w:val="left"/>
              <w:rPr>
                <w:rFonts w:ascii="宋体" w:hAnsi="宋体" w:cs="宋体"/>
                <w:kern w:val="0"/>
                <w:sz w:val="18"/>
                <w:szCs w:val="18"/>
                <w:highlight w:val="none"/>
              </w:rPr>
            </w:pPr>
          </w:p>
        </w:tc>
        <w:tc>
          <w:tcPr>
            <w:tcW w:w="1369" w:type="dxa"/>
            <w:vAlign w:val="center"/>
          </w:tcPr>
          <w:p w14:paraId="7F118DF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4DC640B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8062C2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433A842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4E36C1B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vAlign w:val="center"/>
          </w:tcPr>
          <w:p w14:paraId="58D861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0068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40BDAE">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信息传输业 *</w:t>
            </w:r>
          </w:p>
        </w:tc>
        <w:tc>
          <w:tcPr>
            <w:tcW w:w="1369" w:type="dxa"/>
            <w:vAlign w:val="center"/>
          </w:tcPr>
          <w:p w14:paraId="70CCA32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2FC17A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2C9299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vAlign w:val="center"/>
          </w:tcPr>
          <w:p w14:paraId="4D2DC1D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vAlign w:val="center"/>
          </w:tcPr>
          <w:p w14:paraId="4206895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28F4262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7BD9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922EE5">
            <w:pPr>
              <w:widowControl/>
              <w:jc w:val="left"/>
              <w:rPr>
                <w:rFonts w:ascii="宋体" w:hAnsi="宋体" w:cs="宋体"/>
                <w:kern w:val="0"/>
                <w:sz w:val="18"/>
                <w:szCs w:val="18"/>
                <w:highlight w:val="none"/>
              </w:rPr>
            </w:pPr>
          </w:p>
        </w:tc>
        <w:tc>
          <w:tcPr>
            <w:tcW w:w="1369" w:type="dxa"/>
            <w:vAlign w:val="center"/>
          </w:tcPr>
          <w:p w14:paraId="710409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B10739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F534A1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vAlign w:val="center"/>
          </w:tcPr>
          <w:p w14:paraId="6A61195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1000≤Y＜100000</w:t>
            </w:r>
          </w:p>
        </w:tc>
        <w:tc>
          <w:tcPr>
            <w:tcW w:w="1426" w:type="dxa"/>
            <w:vAlign w:val="center"/>
          </w:tcPr>
          <w:p w14:paraId="5CA459A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vAlign w:val="center"/>
          </w:tcPr>
          <w:p w14:paraId="642C6ED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1BD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C700273">
            <w:pPr>
              <w:widowControl/>
              <w:spacing w:line="240" w:lineRule="exact"/>
              <w:jc w:val="left"/>
              <w:rPr>
                <w:rFonts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vAlign w:val="center"/>
          </w:tcPr>
          <w:p w14:paraId="5430EE8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FD576C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7ABEE43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494D45B1">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613C8AE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7DF553A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599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F1052B">
            <w:pPr>
              <w:widowControl/>
              <w:jc w:val="left"/>
              <w:rPr>
                <w:rFonts w:ascii="宋体" w:hAnsi="宋体" w:cs="宋体"/>
                <w:spacing w:val="-12"/>
                <w:kern w:val="0"/>
                <w:sz w:val="18"/>
                <w:szCs w:val="18"/>
                <w:highlight w:val="none"/>
              </w:rPr>
            </w:pPr>
          </w:p>
        </w:tc>
        <w:tc>
          <w:tcPr>
            <w:tcW w:w="1369" w:type="dxa"/>
            <w:vAlign w:val="center"/>
          </w:tcPr>
          <w:p w14:paraId="56179AE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3A430C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E5E1BD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6677258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vAlign w:val="center"/>
          </w:tcPr>
          <w:p w14:paraId="2C42D2D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50≤Y＜1000</w:t>
            </w:r>
          </w:p>
        </w:tc>
        <w:tc>
          <w:tcPr>
            <w:tcW w:w="992" w:type="dxa"/>
            <w:vAlign w:val="center"/>
          </w:tcPr>
          <w:p w14:paraId="64FB1D9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7E7E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343AB1">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vAlign w:val="center"/>
          </w:tcPr>
          <w:p w14:paraId="74B2344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7EEA9BC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9D1CAD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vAlign w:val="center"/>
          </w:tcPr>
          <w:p w14:paraId="7D6D552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1000≤Y＜200000</w:t>
            </w:r>
          </w:p>
        </w:tc>
        <w:tc>
          <w:tcPr>
            <w:tcW w:w="1426" w:type="dxa"/>
            <w:vAlign w:val="center"/>
          </w:tcPr>
          <w:p w14:paraId="2B3634F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vAlign w:val="center"/>
          </w:tcPr>
          <w:p w14:paraId="555C512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11D4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07A448">
            <w:pPr>
              <w:widowControl/>
              <w:jc w:val="left"/>
              <w:rPr>
                <w:rFonts w:ascii="宋体" w:hAnsi="宋体" w:cs="宋体"/>
                <w:kern w:val="0"/>
                <w:sz w:val="18"/>
                <w:szCs w:val="18"/>
                <w:highlight w:val="none"/>
              </w:rPr>
            </w:pPr>
          </w:p>
        </w:tc>
        <w:tc>
          <w:tcPr>
            <w:tcW w:w="1369" w:type="dxa"/>
            <w:vAlign w:val="center"/>
          </w:tcPr>
          <w:p w14:paraId="038550A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4CAE1C7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B4F4FC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vAlign w:val="center"/>
          </w:tcPr>
          <w:p w14:paraId="4345511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vAlign w:val="center"/>
          </w:tcPr>
          <w:p w14:paraId="102378B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2000≤Z＜5000   </w:t>
            </w:r>
          </w:p>
        </w:tc>
        <w:tc>
          <w:tcPr>
            <w:tcW w:w="992" w:type="dxa"/>
            <w:vAlign w:val="center"/>
          </w:tcPr>
          <w:p w14:paraId="0F052A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Z＜2000</w:t>
            </w:r>
          </w:p>
        </w:tc>
      </w:tr>
      <w:tr w14:paraId="39BF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6D0187">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vAlign w:val="center"/>
          </w:tcPr>
          <w:p w14:paraId="0C1D283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6E127B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0D57FA0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319717B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5493518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992" w:type="dxa"/>
            <w:vAlign w:val="center"/>
          </w:tcPr>
          <w:p w14:paraId="36B4D5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w:t>
            </w:r>
          </w:p>
        </w:tc>
      </w:tr>
      <w:tr w14:paraId="1258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671692">
            <w:pPr>
              <w:widowControl/>
              <w:jc w:val="left"/>
              <w:rPr>
                <w:rFonts w:ascii="宋体" w:hAnsi="宋体" w:cs="宋体"/>
                <w:kern w:val="0"/>
                <w:sz w:val="18"/>
                <w:szCs w:val="18"/>
                <w:highlight w:val="none"/>
              </w:rPr>
            </w:pPr>
          </w:p>
        </w:tc>
        <w:tc>
          <w:tcPr>
            <w:tcW w:w="1369" w:type="dxa"/>
            <w:vAlign w:val="center"/>
          </w:tcPr>
          <w:p w14:paraId="031399C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2B59BB8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9651E0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vAlign w:val="center"/>
          </w:tcPr>
          <w:p w14:paraId="24253BE5">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1000≤Y＜5000 </w:t>
            </w:r>
          </w:p>
        </w:tc>
        <w:tc>
          <w:tcPr>
            <w:tcW w:w="1426" w:type="dxa"/>
            <w:vAlign w:val="center"/>
          </w:tcPr>
          <w:p w14:paraId="1E9D13B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500≤Y＜1000</w:t>
            </w:r>
          </w:p>
        </w:tc>
        <w:tc>
          <w:tcPr>
            <w:tcW w:w="992" w:type="dxa"/>
            <w:vAlign w:val="center"/>
          </w:tcPr>
          <w:p w14:paraId="62054A9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Y＜500</w:t>
            </w:r>
          </w:p>
        </w:tc>
      </w:tr>
      <w:tr w14:paraId="21EC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BE4427A">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vAlign w:val="center"/>
          </w:tcPr>
          <w:p w14:paraId="43ED85F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43A4C55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1AD4BB9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7968AC6">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18DB04B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6F756E4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79FA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444EE5">
            <w:pPr>
              <w:widowControl/>
              <w:jc w:val="left"/>
              <w:rPr>
                <w:rFonts w:ascii="宋体" w:hAnsi="宋体" w:cs="宋体"/>
                <w:kern w:val="0"/>
                <w:sz w:val="18"/>
                <w:szCs w:val="18"/>
                <w:highlight w:val="none"/>
              </w:rPr>
            </w:pPr>
          </w:p>
        </w:tc>
        <w:tc>
          <w:tcPr>
            <w:tcW w:w="1369" w:type="dxa"/>
            <w:vAlign w:val="center"/>
          </w:tcPr>
          <w:p w14:paraId="7BC3417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6579D39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590F5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vAlign w:val="center"/>
          </w:tcPr>
          <w:p w14:paraId="2E9F12E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8000≤Z＜120000</w:t>
            </w:r>
          </w:p>
        </w:tc>
        <w:tc>
          <w:tcPr>
            <w:tcW w:w="1426" w:type="dxa"/>
            <w:vAlign w:val="center"/>
          </w:tcPr>
          <w:p w14:paraId="1478E8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100≤Z＜8000</w:t>
            </w:r>
          </w:p>
        </w:tc>
        <w:tc>
          <w:tcPr>
            <w:tcW w:w="992" w:type="dxa"/>
            <w:vAlign w:val="center"/>
          </w:tcPr>
          <w:p w14:paraId="29E23C6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Z＜100</w:t>
            </w:r>
          </w:p>
        </w:tc>
      </w:tr>
      <w:tr w14:paraId="42B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E12EFB8">
            <w:pPr>
              <w:widowControl/>
              <w:spacing w:line="240" w:lineRule="exact"/>
              <w:jc w:val="left"/>
              <w:rPr>
                <w:rFonts w:ascii="宋体" w:hAnsi="宋体" w:cs="宋体"/>
                <w:kern w:val="0"/>
                <w:sz w:val="18"/>
                <w:szCs w:val="18"/>
                <w:highlight w:val="none"/>
              </w:rPr>
            </w:pPr>
            <w:r>
              <w:rPr>
                <w:rFonts w:hint="eastAsia" w:ascii="宋体" w:hAnsi="宋体" w:cs="宋体"/>
                <w:kern w:val="0"/>
                <w:sz w:val="18"/>
                <w:szCs w:val="18"/>
                <w:highlight w:val="none"/>
                <w:lang w:eastAsia="zh-CN"/>
              </w:rPr>
              <w:t>其他未列明行业</w:t>
            </w:r>
            <w:r>
              <w:rPr>
                <w:rFonts w:hint="eastAsia" w:ascii="宋体" w:hAnsi="宋体" w:cs="宋体"/>
                <w:kern w:val="0"/>
                <w:sz w:val="18"/>
                <w:szCs w:val="18"/>
                <w:highlight w:val="none"/>
              </w:rPr>
              <w:t xml:space="preserve"> *</w:t>
            </w:r>
          </w:p>
        </w:tc>
        <w:tc>
          <w:tcPr>
            <w:tcW w:w="1369" w:type="dxa"/>
            <w:vAlign w:val="center"/>
          </w:tcPr>
          <w:p w14:paraId="09A643A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E7AF69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3FE191A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4A7E4C1E">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4A2C87F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vAlign w:val="center"/>
          </w:tcPr>
          <w:p w14:paraId="3C32170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6FB69667">
      <w:pPr>
        <w:widowControl/>
        <w:spacing w:line="360" w:lineRule="auto"/>
        <w:rPr>
          <w:rFonts w:ascii="宋体" w:hAnsi="宋体" w:cs="宋体"/>
          <w:spacing w:val="8"/>
          <w:kern w:val="0"/>
          <w:szCs w:val="21"/>
          <w:highlight w:val="none"/>
        </w:rPr>
      </w:pPr>
      <w:r>
        <w:rPr>
          <w:rFonts w:hint="eastAsia" w:ascii="宋体" w:hAnsi="宋体" w:cs="宋体"/>
          <w:spacing w:val="8"/>
          <w:kern w:val="0"/>
          <w:szCs w:val="21"/>
          <w:highlight w:val="none"/>
        </w:rPr>
        <w:t>说明：</w:t>
      </w:r>
    </w:p>
    <w:p w14:paraId="14F8328F">
      <w:pPr>
        <w:spacing w:line="360" w:lineRule="auto"/>
        <w:rPr>
          <w:rFonts w:ascii="宋体" w:hAnsi="宋体" w:cs="宋体"/>
          <w:spacing w:val="8"/>
          <w:kern w:val="0"/>
          <w:szCs w:val="21"/>
          <w:highlight w:val="none"/>
        </w:rPr>
      </w:pPr>
      <w:r>
        <w:rPr>
          <w:rFonts w:hint="eastAsia" w:ascii="宋体" w:hAnsi="宋体" w:cs="宋体"/>
          <w:spacing w:val="8"/>
          <w:kern w:val="0"/>
          <w:szCs w:val="21"/>
          <w:highlight w:val="none"/>
        </w:rPr>
        <w:t>　　1.大型、中型和小型企业须同时满足所列指标的下限，否则下划一档；微型企业只须满足所列指标中的一项即可。</w:t>
      </w:r>
    </w:p>
    <w:p w14:paraId="02768736">
      <w:pPr>
        <w:spacing w:line="360" w:lineRule="auto"/>
        <w:rPr>
          <w:rFonts w:ascii="宋体" w:hAnsi="宋体" w:cs="宋体"/>
          <w:spacing w:val="8"/>
          <w:kern w:val="0"/>
          <w:szCs w:val="21"/>
          <w:highlight w:val="none"/>
        </w:rPr>
      </w:pPr>
      <w:r>
        <w:rPr>
          <w:rFonts w:hint="eastAsia" w:ascii="宋体" w:hAnsi="宋体" w:cs="宋体"/>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spacing w:val="8"/>
          <w:kern w:val="0"/>
          <w:szCs w:val="21"/>
          <w:highlight w:val="none"/>
          <w:lang w:eastAsia="zh-CN"/>
        </w:rPr>
        <w:t>其他未列明行业</w:t>
      </w:r>
      <w:r>
        <w:rPr>
          <w:rFonts w:hint="eastAsia" w:ascii="宋体" w:hAnsi="宋体" w:cs="宋体"/>
          <w:spacing w:val="8"/>
          <w:kern w:val="0"/>
          <w:szCs w:val="21"/>
          <w:highlight w:val="none"/>
        </w:rPr>
        <w:t xml:space="preserve"> 包括科学研究和技术服务业，水利、环境和公共设施管理业，居民服务、修理和其他服务业，社会工作，文化、体育和娱乐业，以及房地产中介服务，其他房地产业等，不包括自有房地产经营活动。</w:t>
      </w:r>
    </w:p>
    <w:p w14:paraId="745EB905">
      <w:pPr>
        <w:spacing w:line="360" w:lineRule="auto"/>
        <w:ind w:firstLine="452" w:firstLineChars="200"/>
        <w:jc w:val="left"/>
        <w:rPr>
          <w:rFonts w:ascii="宋体" w:hAnsi="宋体" w:cs="宋体"/>
          <w:szCs w:val="21"/>
          <w:highlight w:val="none"/>
        </w:rPr>
      </w:pPr>
      <w:r>
        <w:rPr>
          <w:rFonts w:hint="eastAsia" w:ascii="宋体" w:hAnsi="宋体" w:cs="宋体"/>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105959E">
      <w:pPr>
        <w:adjustRightInd w:val="0"/>
        <w:snapToGrid w:val="0"/>
        <w:spacing w:line="360" w:lineRule="auto"/>
        <w:jc w:val="center"/>
        <w:rPr>
          <w:rFonts w:ascii="宋体" w:hAnsi="宋体" w:cs="宋体"/>
          <w:b/>
          <w:bCs/>
          <w:szCs w:val="21"/>
          <w:highlight w:val="none"/>
        </w:rPr>
      </w:pPr>
    </w:p>
    <w:p w14:paraId="0053BE74">
      <w:pPr>
        <w:adjustRightInd w:val="0"/>
        <w:snapToGrid w:val="0"/>
        <w:spacing w:line="360" w:lineRule="auto"/>
        <w:jc w:val="center"/>
        <w:rPr>
          <w:rFonts w:ascii="宋体" w:hAnsi="宋体" w:cs="宋体"/>
          <w:b/>
          <w:bCs/>
          <w:szCs w:val="21"/>
          <w:highlight w:val="none"/>
        </w:rPr>
      </w:pPr>
    </w:p>
    <w:p w14:paraId="12FF4B03">
      <w:pPr>
        <w:adjustRightInd w:val="0"/>
        <w:snapToGrid w:val="0"/>
        <w:spacing w:line="360" w:lineRule="auto"/>
        <w:jc w:val="center"/>
        <w:rPr>
          <w:rFonts w:ascii="宋体" w:hAnsi="宋体" w:cs="宋体"/>
          <w:b/>
          <w:bCs/>
          <w:szCs w:val="21"/>
          <w:highlight w:val="none"/>
        </w:rPr>
      </w:pPr>
    </w:p>
    <w:p w14:paraId="2C7685B0">
      <w:pPr>
        <w:adjustRightInd w:val="0"/>
        <w:snapToGrid w:val="0"/>
        <w:spacing w:line="360" w:lineRule="auto"/>
        <w:jc w:val="center"/>
        <w:rPr>
          <w:rFonts w:ascii="宋体" w:hAnsi="宋体" w:cs="宋体"/>
          <w:b/>
          <w:bCs/>
          <w:szCs w:val="21"/>
          <w:highlight w:val="none"/>
        </w:rPr>
      </w:pPr>
    </w:p>
    <w:p w14:paraId="6BF9E0B4">
      <w:pPr>
        <w:adjustRightInd w:val="0"/>
        <w:snapToGrid w:val="0"/>
        <w:spacing w:line="360" w:lineRule="auto"/>
        <w:jc w:val="center"/>
        <w:rPr>
          <w:rFonts w:ascii="宋体" w:hAnsi="宋体" w:cs="宋体"/>
          <w:b/>
          <w:bCs/>
          <w:szCs w:val="21"/>
          <w:highlight w:val="none"/>
        </w:rPr>
      </w:pPr>
    </w:p>
    <w:p w14:paraId="5FD4EDB4">
      <w:pPr>
        <w:adjustRightInd w:val="0"/>
        <w:snapToGrid w:val="0"/>
        <w:spacing w:line="360" w:lineRule="auto"/>
        <w:jc w:val="center"/>
        <w:rPr>
          <w:rFonts w:ascii="宋体" w:hAnsi="宋体" w:cs="宋体"/>
          <w:b/>
          <w:bCs/>
          <w:szCs w:val="21"/>
          <w:highlight w:val="none"/>
        </w:rPr>
      </w:pPr>
    </w:p>
    <w:p w14:paraId="69F70E61">
      <w:pPr>
        <w:adjustRightInd w:val="0"/>
        <w:snapToGrid w:val="0"/>
        <w:spacing w:line="360" w:lineRule="auto"/>
        <w:jc w:val="center"/>
        <w:rPr>
          <w:rFonts w:ascii="宋体" w:hAnsi="宋体" w:cs="宋体"/>
          <w:b/>
          <w:bCs/>
          <w:szCs w:val="21"/>
          <w:highlight w:val="none"/>
        </w:rPr>
      </w:pPr>
    </w:p>
    <w:p w14:paraId="34AFA88C">
      <w:pPr>
        <w:pStyle w:val="21"/>
        <w:shd w:val="clear" w:color="auto" w:fill="FFFFFF"/>
        <w:spacing w:before="0" w:beforeAutospacing="0" w:after="0" w:afterAutospacing="0" w:line="24" w:lineRule="atLeast"/>
        <w:jc w:val="center"/>
        <w:rPr>
          <w:rFonts w:cs="宋体"/>
          <w:sz w:val="28"/>
          <w:szCs w:val="28"/>
          <w:highlight w:val="none"/>
        </w:rPr>
      </w:pPr>
      <w:r>
        <w:rPr>
          <w:rFonts w:hint="eastAsia" w:cs="宋体"/>
          <w:sz w:val="28"/>
          <w:szCs w:val="28"/>
          <w:highlight w:val="none"/>
          <w:shd w:val="clear" w:color="auto" w:fill="FFFFFF"/>
        </w:rPr>
        <w:br w:type="page"/>
      </w:r>
      <w:r>
        <w:rPr>
          <w:rFonts w:hint="eastAsia" w:cs="宋体"/>
          <w:sz w:val="28"/>
          <w:szCs w:val="28"/>
          <w:highlight w:val="none"/>
          <w:shd w:val="clear" w:color="auto" w:fill="FFFFFF"/>
        </w:rPr>
        <w:t>关于规范非招标采购方式政府采购项目</w:t>
      </w:r>
    </w:p>
    <w:p w14:paraId="777FA42C">
      <w:pPr>
        <w:pStyle w:val="21"/>
        <w:shd w:val="clear" w:color="auto" w:fill="FFFFFF"/>
        <w:spacing w:before="0" w:beforeAutospacing="0" w:after="0" w:afterAutospacing="0" w:line="24" w:lineRule="atLeast"/>
        <w:jc w:val="center"/>
        <w:rPr>
          <w:rFonts w:cs="宋体"/>
          <w:sz w:val="28"/>
          <w:szCs w:val="28"/>
          <w:highlight w:val="none"/>
        </w:rPr>
      </w:pPr>
      <w:r>
        <w:rPr>
          <w:rFonts w:hint="eastAsia" w:cs="宋体"/>
          <w:sz w:val="28"/>
          <w:szCs w:val="28"/>
          <w:highlight w:val="none"/>
          <w:shd w:val="clear" w:color="auto" w:fill="FFFFFF"/>
        </w:rPr>
        <w:t>二次报价（或最终报价）的有关通知</w:t>
      </w:r>
    </w:p>
    <w:p w14:paraId="1B488B7B">
      <w:pPr>
        <w:adjustRightInd w:val="0"/>
        <w:snapToGrid w:val="0"/>
        <w:spacing w:line="360" w:lineRule="auto"/>
        <w:ind w:firstLine="420" w:firstLineChars="200"/>
        <w:rPr>
          <w:rFonts w:ascii="宋体" w:hAnsi="宋体" w:eastAsia="仿宋" w:cs="宋体"/>
          <w:szCs w:val="21"/>
          <w:highlight w:val="none"/>
        </w:rPr>
      </w:pPr>
      <w:r>
        <w:rPr>
          <w:rFonts w:hint="eastAsia" w:ascii="仿宋" w:hAnsi="仿宋" w:eastAsia="仿宋" w:cs="仿宋"/>
          <w:szCs w:val="21"/>
          <w:highlight w:val="none"/>
          <w:shd w:val="clear" w:color="auto" w:fill="FFFFFF"/>
        </w:rPr>
        <w:t>（http://www.hnggzy.com/xxgk/003002/20230320/25ed25d3-4dae-4b55-892f-21f21cb73239.html）</w:t>
      </w:r>
    </w:p>
    <w:p w14:paraId="6221344C">
      <w:pPr>
        <w:adjustRightInd w:val="0"/>
        <w:snapToGrid w:val="0"/>
        <w:spacing w:line="360" w:lineRule="auto"/>
        <w:ind w:firstLine="420" w:firstLineChars="200"/>
        <w:rPr>
          <w:rFonts w:ascii="宋体" w:hAnsi="宋体" w:cs="宋体"/>
          <w:szCs w:val="21"/>
          <w:highlight w:val="none"/>
        </w:rPr>
      </w:pPr>
    </w:p>
    <w:p w14:paraId="178C36F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各市场主体：</w:t>
      </w:r>
    </w:p>
    <w:p w14:paraId="27E6A54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为规范非招标采购方式政府采购项目二次报价（或最终报价），现通知如下：</w:t>
      </w:r>
    </w:p>
    <w:p w14:paraId="0D1F91E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一、采用竞争性谈判和竞争性磋商方式进行交易的项目，二次报价（或最终报价）通知信息以市场主体系统右上角系统提醒——开标提醒的推送时间为准！系统自评委点击发送二次报价（或最终报价）通知时开始计时，请各潜在投标人及时关注系统提醒，在规定的时间内完成二次报价（或最终报价）。</w:t>
      </w:r>
    </w:p>
    <w:p w14:paraId="3F8AC37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二、评委点击发送二次报价（或最终报价）通知后，系统同时会以手机短信形式发送信息，手机短信提醒可能因运营商网络问题造成延误。无论收到手机短信提醒与否，均不作为二次报价（或最终报价）开始的依据。</w:t>
      </w:r>
    </w:p>
    <w:p w14:paraId="0A15218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特此通知！</w:t>
      </w:r>
    </w:p>
    <w:p w14:paraId="47C302C8">
      <w:pPr>
        <w:adjustRightInd w:val="0"/>
        <w:snapToGrid w:val="0"/>
        <w:spacing w:line="360" w:lineRule="auto"/>
        <w:ind w:firstLine="420" w:firstLineChars="200"/>
        <w:rPr>
          <w:rFonts w:ascii="宋体" w:hAnsi="宋体" w:cs="宋体"/>
          <w:szCs w:val="21"/>
          <w:highlight w:val="none"/>
        </w:rPr>
      </w:pPr>
    </w:p>
    <w:p w14:paraId="799DBA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w:t>
      </w:r>
    </w:p>
    <w:p w14:paraId="6F55407C">
      <w:pPr>
        <w:spacing w:line="360" w:lineRule="auto"/>
        <w:ind w:firstLine="452" w:firstLineChars="200"/>
        <w:jc w:val="left"/>
        <w:rPr>
          <w:rFonts w:ascii="宋体" w:hAnsi="宋体" w:cs="宋体"/>
          <w:spacing w:val="8"/>
          <w:kern w:val="0"/>
          <w:szCs w:val="21"/>
          <w:highlight w:val="none"/>
        </w:rPr>
      </w:pPr>
      <w:r>
        <w:rPr>
          <w:rFonts w:hint="eastAsia" w:ascii="宋体" w:hAnsi="宋体" w:cs="宋体"/>
          <w:spacing w:val="8"/>
          <w:kern w:val="0"/>
          <w:szCs w:val="21"/>
          <w:highlight w:val="none"/>
        </w:rPr>
        <w:t>                      河南省公共资源交易中心</w:t>
      </w:r>
    </w:p>
    <w:p w14:paraId="1676CB47">
      <w:pPr>
        <w:spacing w:line="360" w:lineRule="auto"/>
        <w:ind w:firstLine="452" w:firstLineChars="200"/>
        <w:jc w:val="left"/>
        <w:rPr>
          <w:rFonts w:ascii="宋体" w:hAnsi="宋体" w:cs="宋体"/>
          <w:spacing w:val="8"/>
          <w:kern w:val="0"/>
          <w:szCs w:val="21"/>
          <w:highlight w:val="none"/>
        </w:rPr>
      </w:pPr>
      <w:r>
        <w:rPr>
          <w:rFonts w:hint="eastAsia" w:ascii="宋体" w:hAnsi="宋体" w:cs="宋体"/>
          <w:spacing w:val="8"/>
          <w:kern w:val="0"/>
          <w:szCs w:val="21"/>
          <w:highlight w:val="none"/>
        </w:rPr>
        <w:t>                            2023年3月20日</w:t>
      </w:r>
    </w:p>
    <w:p w14:paraId="4EAD3209">
      <w:pPr>
        <w:spacing w:line="360" w:lineRule="auto"/>
        <w:ind w:firstLine="480" w:firstLineChars="200"/>
        <w:rPr>
          <w:rFonts w:ascii="宋体" w:hAnsi="宋体" w:cs="宋体"/>
          <w:sz w:val="24"/>
          <w:highlight w:val="none"/>
        </w:rPr>
      </w:pPr>
    </w:p>
    <w:p w14:paraId="79F67901">
      <w:pPr>
        <w:spacing w:line="360" w:lineRule="auto"/>
        <w:ind w:firstLine="480" w:firstLineChars="200"/>
        <w:rPr>
          <w:rFonts w:ascii="宋体" w:hAnsi="宋体" w:cs="宋体"/>
          <w:sz w:val="24"/>
          <w:highlight w:val="none"/>
        </w:rPr>
      </w:pPr>
      <w:r>
        <w:rPr>
          <w:rFonts w:hint="eastAsia" w:ascii="宋体" w:hAnsi="宋体" w:cs="宋体"/>
          <w:sz w:val="24"/>
          <w:highlight w:val="none"/>
        </w:rPr>
        <w:t>21.2需要补充的其他内容：</w:t>
      </w:r>
      <w:r>
        <w:rPr>
          <w:rFonts w:hint="eastAsia" w:ascii="宋体" w:hAnsi="宋体" w:cs="宋体"/>
          <w:b/>
          <w:sz w:val="24"/>
          <w:highlight w:val="none"/>
          <w:u w:val="single"/>
        </w:rPr>
        <w:t>见供应商须知前附表</w:t>
      </w:r>
      <w:r>
        <w:rPr>
          <w:rFonts w:hint="eastAsia" w:ascii="宋体" w:hAnsi="宋体" w:cs="宋体"/>
          <w:sz w:val="24"/>
          <w:highlight w:val="none"/>
        </w:rPr>
        <w:t>。</w:t>
      </w:r>
      <w:bookmarkEnd w:id="574"/>
    </w:p>
    <w:p w14:paraId="7668B9EB">
      <w:pPr>
        <w:spacing w:line="360" w:lineRule="auto"/>
        <w:ind w:firstLine="480" w:firstLineChars="200"/>
        <w:rPr>
          <w:rFonts w:ascii="宋体" w:hAnsi="宋体" w:cs="宋体"/>
          <w:sz w:val="24"/>
          <w:highlight w:val="none"/>
        </w:rPr>
      </w:pPr>
      <w:r>
        <w:rPr>
          <w:rFonts w:hint="eastAsia" w:ascii="宋体" w:hAnsi="宋体" w:cs="宋体"/>
          <w:sz w:val="24"/>
          <w:highlight w:val="none"/>
        </w:rPr>
        <w:br w:type="page"/>
      </w:r>
    </w:p>
    <w:p w14:paraId="34F8164D">
      <w:pPr>
        <w:pStyle w:val="44"/>
        <w:tabs>
          <w:tab w:val="left" w:pos="0"/>
        </w:tabs>
        <w:autoSpaceDE w:val="0"/>
        <w:autoSpaceDN w:val="0"/>
        <w:adjustRightInd w:val="0"/>
        <w:spacing w:before="0" w:line="360" w:lineRule="auto"/>
        <w:ind w:firstLine="3373" w:firstLineChars="1200"/>
        <w:rPr>
          <w:rFonts w:ascii="宋体" w:hAnsi="宋体" w:eastAsia="宋体"/>
          <w:b/>
          <w:highlight w:val="none"/>
        </w:rPr>
      </w:pPr>
      <w:bookmarkStart w:id="587" w:name="_Toc10349"/>
      <w:bookmarkStart w:id="588" w:name="_Toc15048359"/>
      <w:bookmarkStart w:id="589" w:name="_Toc5417"/>
      <w:bookmarkStart w:id="590" w:name="_Toc9165"/>
      <w:r>
        <w:rPr>
          <w:rFonts w:hint="eastAsia" w:ascii="宋体" w:hAnsi="宋体" w:eastAsia="宋体"/>
          <w:b/>
          <w:highlight w:val="none"/>
        </w:rPr>
        <w:t>第三章  采购需求</w:t>
      </w:r>
      <w:bookmarkEnd w:id="587"/>
      <w:bookmarkEnd w:id="588"/>
      <w:bookmarkEnd w:id="589"/>
      <w:bookmarkEnd w:id="590"/>
    </w:p>
    <w:p w14:paraId="4D5C1E53">
      <w:pPr>
        <w:spacing w:line="288" w:lineRule="auto"/>
        <w:ind w:firstLine="480" w:firstLineChars="200"/>
        <w:rPr>
          <w:rFonts w:asciiTheme="minorEastAsia" w:hAnsiTheme="minorEastAsia" w:eastAsiaTheme="minorEastAsia" w:cstheme="minorEastAsia"/>
          <w:sz w:val="24"/>
          <w:highlight w:val="none"/>
        </w:rPr>
      </w:pPr>
      <w:bookmarkStart w:id="591" w:name="_Hlk128582063"/>
    </w:p>
    <w:p w14:paraId="6FB0FA4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服务工作内容要求</w:t>
      </w:r>
    </w:p>
    <w:p w14:paraId="5D594F0C">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严格执行国家食品卫生法律法规，保证就餐环境清洁、消毒、安全等。凡经服务方验收的原材料，服务方为第一责任人。食堂的卫生防疫、就餐环境必须达到国家规定的餐饮场所卫生标准，杜绝群体性食物中毒事件发生。工作区域内要做好治安保卫、安全防火、防盗等工作，服从生态环境厅管理，确保无安全责任事故。 </w:t>
      </w:r>
    </w:p>
    <w:p w14:paraId="3C22174F">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负责食堂内设备日常使用、保养、管理。 </w:t>
      </w:r>
    </w:p>
    <w:p w14:paraId="22787479">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爱护公共财物，人为损坏要赔偿。 </w:t>
      </w:r>
    </w:p>
    <w:p w14:paraId="5CEF936E">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服务方需加强人员管理，承担第一责任。要求工作人员必须遵守法律法规及业主方相关的规定，要有良好的服务态度并自觉接受监督，不与就餐人员发生争吵或冲突，如有违规者，生态环境厅有权追究服务方的责任。 </w:t>
      </w:r>
    </w:p>
    <w:p w14:paraId="78E34F8C">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甲方每月对</w:t>
      </w:r>
      <w:r>
        <w:rPr>
          <w:rFonts w:hint="eastAsia" w:asciiTheme="minorEastAsia" w:hAnsiTheme="minorEastAsia" w:eastAsiaTheme="minorEastAsia" w:cstheme="minorEastAsia"/>
          <w:color w:val="auto"/>
          <w:highlight w:val="none"/>
          <w:lang w:val="en-US" w:eastAsia="zh-CN"/>
        </w:rPr>
        <w:t>管理、</w:t>
      </w:r>
      <w:r>
        <w:rPr>
          <w:rFonts w:hint="eastAsia" w:asciiTheme="minorEastAsia" w:hAnsiTheme="minorEastAsia" w:eastAsiaTheme="minorEastAsia" w:cstheme="minorEastAsia"/>
          <w:color w:val="auto"/>
          <w:highlight w:val="none"/>
          <w:lang w:eastAsia="zh-CN"/>
        </w:rPr>
        <w:t>菜品及服务</w:t>
      </w:r>
      <w:r>
        <w:rPr>
          <w:rFonts w:hint="eastAsia" w:asciiTheme="minorEastAsia" w:hAnsiTheme="minorEastAsia" w:eastAsiaTheme="minorEastAsia" w:cstheme="minorEastAsia"/>
          <w:color w:val="auto"/>
          <w:highlight w:val="none"/>
          <w:lang w:val="en-US" w:eastAsia="zh-CN"/>
        </w:rPr>
        <w:t>等情况</w:t>
      </w:r>
      <w:r>
        <w:rPr>
          <w:rFonts w:hint="eastAsia" w:asciiTheme="minorEastAsia" w:hAnsiTheme="minorEastAsia" w:eastAsiaTheme="minorEastAsia" w:cstheme="minorEastAsia"/>
          <w:color w:val="auto"/>
          <w:highlight w:val="none"/>
          <w:lang w:eastAsia="zh-CN"/>
        </w:rPr>
        <w:t>进行考核，</w:t>
      </w:r>
      <w:r>
        <w:rPr>
          <w:rFonts w:hint="eastAsia" w:asciiTheme="minorEastAsia" w:hAnsiTheme="minorEastAsia" w:eastAsiaTheme="minorEastAsia" w:cstheme="minorEastAsia"/>
          <w:color w:val="auto"/>
          <w:highlight w:val="none"/>
          <w:lang w:val="en-US" w:eastAsia="zh-CN"/>
        </w:rPr>
        <w:t>附《服务项目月度考核细则》</w:t>
      </w:r>
      <w:r>
        <w:rPr>
          <w:rFonts w:hint="eastAsia" w:asciiTheme="minorEastAsia" w:hAnsiTheme="minorEastAsia" w:eastAsiaTheme="minorEastAsia" w:cstheme="minorEastAsia"/>
          <w:color w:val="auto"/>
          <w:highlight w:val="none"/>
          <w:lang w:eastAsia="zh-CN"/>
        </w:rPr>
        <w:t>。该</w:t>
      </w:r>
      <w:r>
        <w:rPr>
          <w:rFonts w:hint="eastAsia" w:asciiTheme="minorEastAsia" w:hAnsiTheme="minorEastAsia" w:eastAsiaTheme="minorEastAsia" w:cstheme="minorEastAsia"/>
          <w:color w:val="auto"/>
          <w:highlight w:val="none"/>
          <w:lang w:val="en-US" w:eastAsia="zh-CN"/>
        </w:rPr>
        <w:t>细则</w:t>
      </w:r>
      <w:r>
        <w:rPr>
          <w:rFonts w:hint="eastAsia" w:asciiTheme="minorEastAsia" w:hAnsiTheme="minorEastAsia" w:eastAsiaTheme="minorEastAsia" w:cstheme="minorEastAsia"/>
          <w:color w:val="auto"/>
          <w:highlight w:val="none"/>
          <w:lang w:eastAsia="zh-CN"/>
        </w:rPr>
        <w:t>与当月外包费用挂钩。考核当月职工满意度</w:t>
      </w:r>
      <w:r>
        <w:rPr>
          <w:rFonts w:hint="eastAsia" w:asciiTheme="minorEastAsia" w:hAnsiTheme="minorEastAsia" w:eastAsiaTheme="minorEastAsia" w:cstheme="minorEastAsia"/>
          <w:color w:val="auto"/>
          <w:highlight w:val="none"/>
          <w:lang w:val="en-US" w:eastAsia="zh-CN"/>
        </w:rPr>
        <w:t>达到</w:t>
      </w:r>
      <w:r>
        <w:rPr>
          <w:rFonts w:hint="eastAsia" w:asciiTheme="minorEastAsia" w:hAnsiTheme="minorEastAsia" w:eastAsiaTheme="minorEastAsia" w:cstheme="minorEastAsia"/>
          <w:color w:val="auto"/>
          <w:highlight w:val="none"/>
          <w:lang w:eastAsia="zh-CN"/>
        </w:rPr>
        <w:t>95%（</w:t>
      </w:r>
      <w:r>
        <w:rPr>
          <w:rFonts w:hint="eastAsia" w:asciiTheme="minorEastAsia" w:hAnsiTheme="minorEastAsia" w:eastAsiaTheme="minorEastAsia" w:cstheme="minorEastAsia"/>
          <w:color w:val="auto"/>
          <w:highlight w:val="none"/>
          <w:lang w:val="en-US" w:eastAsia="zh-CN"/>
        </w:rPr>
        <w:t>含</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及以上，全额支付当月</w:t>
      </w:r>
      <w:r>
        <w:rPr>
          <w:rFonts w:hint="eastAsia" w:asciiTheme="minorEastAsia" w:hAnsiTheme="minorEastAsia" w:eastAsiaTheme="minorEastAsia" w:cstheme="minorEastAsia"/>
          <w:color w:val="auto"/>
          <w:highlight w:val="none"/>
          <w:lang w:eastAsia="zh-CN"/>
        </w:rPr>
        <w:t>中标外包劳务</w:t>
      </w:r>
      <w:r>
        <w:rPr>
          <w:rFonts w:hint="eastAsia" w:asciiTheme="minorEastAsia" w:hAnsiTheme="minorEastAsia" w:eastAsiaTheme="minorEastAsia" w:cstheme="minorEastAsia"/>
          <w:color w:val="auto"/>
          <w:highlight w:val="none"/>
          <w:lang w:val="en-US" w:eastAsia="zh-CN"/>
        </w:rPr>
        <w:t>费用；若</w:t>
      </w:r>
      <w:r>
        <w:rPr>
          <w:rFonts w:hint="eastAsia" w:asciiTheme="minorEastAsia" w:hAnsiTheme="minorEastAsia" w:eastAsiaTheme="minorEastAsia" w:cstheme="minorEastAsia"/>
          <w:color w:val="auto"/>
          <w:highlight w:val="none"/>
          <w:lang w:eastAsia="zh-CN"/>
        </w:rPr>
        <w:t>考核当月职工满意度低于95%，扣减中标外包劳务费用的1%，连续第二个月仍低于95%，则扣减中标外包劳务费用的2%，连续第三个月仍低于95%，则扣减中标外包劳务费用的3%，以此类推（</w:t>
      </w:r>
      <w:r>
        <w:rPr>
          <w:rFonts w:hint="eastAsia" w:asciiTheme="minorEastAsia" w:hAnsiTheme="minorEastAsia" w:eastAsiaTheme="minorEastAsia" w:cstheme="minorEastAsia"/>
          <w:color w:val="auto"/>
          <w:highlight w:val="none"/>
          <w:lang w:val="en-US" w:eastAsia="zh-CN"/>
        </w:rPr>
        <w:t>在不违背整体评分办法情况下，甲方为确保日常工作落实及其他管理需求，可对服务方考核细则做出相应调整</w:t>
      </w:r>
      <w:r>
        <w:rPr>
          <w:rFonts w:hint="eastAsia" w:asciiTheme="minorEastAsia" w:hAnsiTheme="minorEastAsia" w:eastAsiaTheme="minorEastAsia" w:cstheme="minorEastAsia"/>
          <w:color w:val="auto"/>
          <w:highlight w:val="none"/>
          <w:lang w:eastAsia="zh-CN"/>
        </w:rPr>
        <w:t>）。</w:t>
      </w:r>
    </w:p>
    <w:p w14:paraId="6F61F340">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河南省生态环境厅</w:t>
      </w:r>
      <w:r>
        <w:rPr>
          <w:rFonts w:hint="default" w:asciiTheme="minorEastAsia" w:hAnsiTheme="minorEastAsia" w:eastAsiaTheme="minorEastAsia" w:cstheme="minorEastAsia"/>
          <w:color w:val="auto"/>
          <w:highlight w:val="none"/>
        </w:rPr>
        <w:t>指定专人与服务方联络，负责对职工就餐和</w:t>
      </w:r>
      <w:r>
        <w:rPr>
          <w:rFonts w:hint="eastAsia" w:asciiTheme="minorEastAsia" w:hAnsiTheme="minorEastAsia" w:eastAsiaTheme="minorEastAsia" w:cstheme="minorEastAsia"/>
          <w:color w:val="auto"/>
          <w:highlight w:val="none"/>
          <w:lang w:val="en-US" w:eastAsia="zh-CN"/>
        </w:rPr>
        <w:t>管理工作</w:t>
      </w:r>
      <w:r>
        <w:rPr>
          <w:rFonts w:hint="default" w:asciiTheme="minorEastAsia" w:hAnsiTheme="minorEastAsia" w:eastAsiaTheme="minorEastAsia" w:cstheme="minorEastAsia"/>
          <w:color w:val="auto"/>
          <w:highlight w:val="none"/>
        </w:rPr>
        <w:t>进行合理安排，对食堂的服务质量进行监督、检查、反馈。</w:t>
      </w:r>
    </w:p>
    <w:p w14:paraId="4F23E68E">
      <w:pPr>
        <w:keepNext w:val="0"/>
        <w:keepLines w:val="0"/>
        <w:pageBreakBefore w:val="0"/>
        <w:widowControl w:val="0"/>
        <w:numPr>
          <w:ilvl w:val="0"/>
          <w:numId w:val="2"/>
        </w:numPr>
        <w:tabs>
          <w:tab w:val="left" w:pos="960"/>
        </w:tabs>
        <w:kinsoku/>
        <w:wordWrap/>
        <w:overflowPunct/>
        <w:topLinePunct w:val="0"/>
        <w:autoSpaceDE/>
        <w:autoSpaceDN/>
        <w:bidi w:val="0"/>
        <w:adjustRightInd/>
        <w:snapToGrid/>
        <w:spacing w:line="360" w:lineRule="auto"/>
        <w:ind w:left="0" w:leftChars="0" w:firstLine="420" w:firstLineChars="200"/>
        <w:textAlignment w:val="auto"/>
        <w:rPr>
          <w:rFonts w:hint="default" w:asciiTheme="minorEastAsia" w:hAnsiTheme="minorEastAsia" w:eastAsiaTheme="minorEastAsia" w:cstheme="minorEastAsia"/>
          <w:color w:val="auto"/>
          <w:highlight w:val="none"/>
        </w:rPr>
      </w:pPr>
      <w:r>
        <w:rPr>
          <w:rFonts w:hint="default" w:asciiTheme="minorEastAsia" w:hAnsiTheme="minorEastAsia" w:eastAsiaTheme="minorEastAsia" w:cstheme="minorEastAsia"/>
          <w:color w:val="auto"/>
          <w:highlight w:val="none"/>
        </w:rPr>
        <w:t>服务方承担经营场所范围内的独立法律责任。</w:t>
      </w:r>
    </w:p>
    <w:p w14:paraId="0662FB1A">
      <w:pPr>
        <w:rPr>
          <w:rFonts w:hint="default"/>
          <w:color w:val="auto"/>
          <w:highlight w:val="none"/>
          <w:lang w:eastAsia="zh-CN"/>
        </w:rPr>
      </w:pPr>
      <w:r>
        <w:rPr>
          <w:rFonts w:hint="default"/>
          <w:color w:val="auto"/>
          <w:highlight w:val="none"/>
          <w:lang w:eastAsia="zh-CN"/>
        </w:rPr>
        <w:br w:type="page"/>
      </w:r>
    </w:p>
    <w:p w14:paraId="12D050FC">
      <w:pPr>
        <w:rPr>
          <w:rFonts w:hint="default" w:asciiTheme="minorEastAsia" w:hAnsiTheme="minorEastAsia" w:eastAsiaTheme="minorEastAsia" w:cstheme="minorEastAsia"/>
          <w:color w:val="auto"/>
          <w:highlight w:val="none"/>
          <w:lang w:eastAsia="zh-CN"/>
        </w:rPr>
      </w:pPr>
      <w:r>
        <w:rPr>
          <w:rFonts w:hint="default" w:asciiTheme="minorEastAsia" w:hAnsiTheme="minorEastAsia" w:eastAsiaTheme="minorEastAsia" w:cstheme="minorEastAsia"/>
          <w:color w:val="auto"/>
          <w:highlight w:val="none"/>
          <w:lang w:eastAsia="zh-CN"/>
        </w:rPr>
        <w:drawing>
          <wp:inline distT="0" distB="0" distL="114300" distR="114300">
            <wp:extent cx="5268595" cy="7450455"/>
            <wp:effectExtent l="0" t="0" r="8255" b="17145"/>
            <wp:docPr id="4" name="图片 4" descr="20240927职工餐厅考核表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40927职工餐厅考核表01"/>
                    <pic:cNvPicPr>
                      <a:picLocks noChangeAspect="1"/>
                    </pic:cNvPicPr>
                  </pic:nvPicPr>
                  <pic:blipFill>
                    <a:blip r:embed="rId8"/>
                    <a:stretch>
                      <a:fillRect/>
                    </a:stretch>
                  </pic:blipFill>
                  <pic:spPr>
                    <a:xfrm>
                      <a:off x="0" y="0"/>
                      <a:ext cx="5268595" cy="7450455"/>
                    </a:xfrm>
                    <a:prstGeom prst="rect">
                      <a:avLst/>
                    </a:prstGeom>
                  </pic:spPr>
                </pic:pic>
              </a:graphicData>
            </a:graphic>
          </wp:inline>
        </w:drawing>
      </w:r>
      <w:r>
        <w:rPr>
          <w:rFonts w:hint="default" w:asciiTheme="minorEastAsia" w:hAnsiTheme="minorEastAsia" w:eastAsiaTheme="minorEastAsia" w:cstheme="minorEastAsia"/>
          <w:color w:val="auto"/>
          <w:highlight w:val="none"/>
          <w:lang w:eastAsia="zh-CN"/>
        </w:rPr>
        <w:drawing>
          <wp:inline distT="0" distB="0" distL="114300" distR="114300">
            <wp:extent cx="5268595" cy="7450455"/>
            <wp:effectExtent l="0" t="0" r="8255" b="17145"/>
            <wp:docPr id="3" name="图片 3" descr="20240927职工餐厅考核表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927职工餐厅考核表02"/>
                    <pic:cNvPicPr>
                      <a:picLocks noChangeAspect="1"/>
                    </pic:cNvPicPr>
                  </pic:nvPicPr>
                  <pic:blipFill>
                    <a:blip r:embed="rId9"/>
                    <a:stretch>
                      <a:fillRect/>
                    </a:stretch>
                  </pic:blipFill>
                  <pic:spPr>
                    <a:xfrm>
                      <a:off x="0" y="0"/>
                      <a:ext cx="5268595" cy="7450455"/>
                    </a:xfrm>
                    <a:prstGeom prst="rect">
                      <a:avLst/>
                    </a:prstGeom>
                  </pic:spPr>
                </pic:pic>
              </a:graphicData>
            </a:graphic>
          </wp:inline>
        </w:drawing>
      </w:r>
    </w:p>
    <w:p w14:paraId="78FEA993">
      <w:pPr>
        <w:rPr>
          <w:rFonts w:hint="default" w:asciiTheme="minorEastAsia" w:hAnsiTheme="minorEastAsia" w:eastAsiaTheme="minorEastAsia" w:cstheme="minorEastAsia"/>
          <w:color w:val="auto"/>
          <w:highlight w:val="none"/>
          <w:lang w:eastAsia="zh-CN"/>
        </w:rPr>
      </w:pPr>
      <w:r>
        <w:rPr>
          <w:rFonts w:hint="default" w:asciiTheme="minorEastAsia" w:hAnsiTheme="minorEastAsia" w:eastAsiaTheme="minorEastAsia" w:cstheme="minorEastAsia"/>
          <w:color w:val="auto"/>
          <w:highlight w:val="none"/>
          <w:lang w:eastAsia="zh-CN"/>
        </w:rPr>
        <w:br w:type="page"/>
      </w:r>
    </w:p>
    <w:p w14:paraId="6AF65C9A">
      <w:pPr>
        <w:rPr>
          <w:rFonts w:hint="default" w:asciiTheme="minorEastAsia" w:hAnsiTheme="minorEastAsia" w:eastAsiaTheme="minorEastAsia" w:cstheme="minorEastAsia"/>
          <w:color w:val="auto"/>
          <w:highlight w:val="none"/>
          <w:lang w:eastAsia="zh-CN"/>
        </w:rPr>
      </w:pPr>
    </w:p>
    <w:p w14:paraId="6A345A5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outlineLvl w:val="3"/>
        <w:rPr>
          <w:rFonts w:hint="default" w:asciiTheme="minorEastAsia" w:hAnsiTheme="minorEastAsia" w:eastAsiaTheme="minorEastAsia" w:cstheme="minorEastAsia"/>
          <w:color w:val="auto"/>
          <w:highlight w:val="none"/>
          <w:lang w:eastAsia="zh-CN"/>
        </w:rPr>
      </w:pPr>
      <w:r>
        <w:rPr>
          <w:rFonts w:hint="default" w:asciiTheme="minorEastAsia" w:hAnsiTheme="minorEastAsia" w:eastAsiaTheme="minorEastAsia" w:cstheme="minorEastAsia"/>
          <w:color w:val="auto"/>
          <w:highlight w:val="none"/>
          <w:lang w:eastAsia="zh-CN"/>
        </w:rPr>
        <w:t>不低于指定配餐方案要求具体如下：</w:t>
      </w:r>
    </w:p>
    <w:p w14:paraId="2BF5ECD4">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r>
        <w:rPr>
          <w:rFonts w:hint="default" w:asciiTheme="minorEastAsia" w:hAnsiTheme="minorEastAsia" w:eastAsiaTheme="minorEastAsia" w:cstheme="minorEastAsia"/>
          <w:color w:val="auto"/>
          <w:highlight w:val="none"/>
        </w:rPr>
        <w:t>工作日配餐方案</w:t>
      </w:r>
    </w:p>
    <w:p w14:paraId="014DF622">
      <w:pPr>
        <w:pStyle w:val="43"/>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19"/>
        <w:gridCol w:w="4476"/>
      </w:tblGrid>
      <w:tr w14:paraId="5E68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AC875">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餐别</w:t>
            </w: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98281">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菜品类</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40476">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要求数量</w:t>
            </w:r>
          </w:p>
        </w:tc>
      </w:tr>
      <w:tr w14:paraId="6FE0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E691E6">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早餐</w:t>
            </w: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AE653">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08029">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不少于4种（不少于1种半荤）</w:t>
            </w:r>
          </w:p>
        </w:tc>
      </w:tr>
      <w:tr w14:paraId="5FF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96F159">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82614">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凉菜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675CB">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5812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3ABC0E">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68724">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主食</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D5EB7">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不少于5种</w:t>
            </w:r>
          </w:p>
        </w:tc>
      </w:tr>
      <w:tr w14:paraId="740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2C4D74">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61E87">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粥汤</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F33E2">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4445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1B8E23">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2BE2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豆、奶制品</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59CBB">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139E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989F11">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6820E">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蛋类</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1C37C">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不少于3种</w:t>
            </w:r>
          </w:p>
        </w:tc>
      </w:tr>
      <w:tr w14:paraId="3FE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DD71C0">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26FD5">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9772E">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不少于1种</w:t>
            </w:r>
          </w:p>
        </w:tc>
      </w:tr>
      <w:tr w14:paraId="676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21D1A9">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018BE">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粗粮</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7FF5C">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41EA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4514F6">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中餐</w:t>
            </w: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20035">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10B82">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不少于8种（1大荤2半荤1蛋1豆3素）</w:t>
            </w:r>
          </w:p>
        </w:tc>
      </w:tr>
      <w:tr w14:paraId="7722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88152A">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983A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凉菜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B886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67B7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9E73D7">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EB0D">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基础主食</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7EC1A">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6A1C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850BD0">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81EC">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特色主食（含明档）</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B1B34">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不少于3种</w:t>
            </w:r>
          </w:p>
        </w:tc>
      </w:tr>
      <w:tr w14:paraId="5CDA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FE485E">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887A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汤粥类</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50311">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2E7C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B37063">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EBDEC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29F0B">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2EB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67837C">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8929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粗粮</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44803">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w:t>
            </w:r>
          </w:p>
        </w:tc>
      </w:tr>
      <w:tr w14:paraId="74C8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1E6662">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晚餐</w:t>
            </w: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4B5C4">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热菜</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9014B">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不少于4种</w:t>
            </w:r>
          </w:p>
        </w:tc>
      </w:tr>
      <w:tr w14:paraId="19DA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D4C162">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F69A8">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汤</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E9180">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不少于1种</w:t>
            </w:r>
          </w:p>
        </w:tc>
      </w:tr>
      <w:tr w14:paraId="1EBC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84F7D2">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B69EC">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主食</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14B92">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不少于4种</w:t>
            </w:r>
          </w:p>
        </w:tc>
      </w:tr>
      <w:tr w14:paraId="2DDB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8F0872">
            <w:pPr>
              <w:pStyle w:val="43"/>
              <w:spacing w:line="360" w:lineRule="auto"/>
              <w:rPr>
                <w:rFonts w:hint="eastAsia" w:ascii="宋体" w:hAnsi="宋体" w:eastAsia="宋体" w:cs="宋体"/>
                <w:color w:val="auto"/>
                <w:sz w:val="21"/>
                <w:szCs w:val="21"/>
                <w:highlight w:val="none"/>
                <w:lang w:val="en-US" w:eastAsia="zh-CN"/>
              </w:rPr>
            </w:pPr>
          </w:p>
        </w:tc>
        <w:tc>
          <w:tcPr>
            <w:tcW w:w="3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4C02F">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加班餐（临时加班）</w:t>
            </w:r>
          </w:p>
        </w:tc>
        <w:tc>
          <w:tcPr>
            <w:tcW w:w="4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CC595">
            <w:pPr>
              <w:pStyle w:val="4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不少于2种可选，备小菜2种</w:t>
            </w:r>
          </w:p>
        </w:tc>
      </w:tr>
    </w:tbl>
    <w:p w14:paraId="16834DE6">
      <w:pPr>
        <w:pStyle w:val="43"/>
        <w:spacing w:line="360" w:lineRule="auto"/>
        <w:rPr>
          <w:rFonts w:hint="default" w:asciiTheme="minorEastAsia" w:hAnsiTheme="minorEastAsia" w:eastAsiaTheme="minorEastAsia" w:cstheme="minorEastAsia"/>
          <w:color w:val="auto"/>
          <w:highlight w:val="none"/>
          <w:lang w:eastAsia="zh-CN"/>
        </w:rPr>
      </w:pPr>
    </w:p>
    <w:p w14:paraId="287588B7">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default" w:asciiTheme="minorEastAsia" w:hAnsiTheme="minorEastAsia" w:eastAsiaTheme="minorEastAsia" w:cstheme="minorEastAsia"/>
          <w:color w:val="auto"/>
          <w:highlight w:val="none"/>
        </w:rPr>
        <w:t>节假日及值班配餐方案</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3000"/>
        <w:gridCol w:w="4440"/>
      </w:tblGrid>
      <w:tr w14:paraId="442F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15FE5">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餐别</w:t>
            </w: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D1345">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菜品类</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C2D50">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要求数量</w:t>
            </w:r>
          </w:p>
        </w:tc>
      </w:tr>
      <w:tr w14:paraId="658D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0B0468">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早餐</w:t>
            </w: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35399">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热菜</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B7747">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不少于4种（不少于1种半荤）</w:t>
            </w:r>
          </w:p>
        </w:tc>
      </w:tr>
      <w:tr w14:paraId="0EFF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DC449D">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0C4B7">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凉菜</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C7004">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不少于1种（可自制）</w:t>
            </w:r>
          </w:p>
        </w:tc>
      </w:tr>
      <w:tr w14:paraId="20BA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580D86">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8034E">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粥类</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9E6FC">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不少于1种</w:t>
            </w:r>
          </w:p>
        </w:tc>
      </w:tr>
      <w:tr w14:paraId="1E9F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45B9FA">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9D732">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主食</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218C8">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不少于3种</w:t>
            </w:r>
          </w:p>
        </w:tc>
      </w:tr>
      <w:tr w14:paraId="784A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CF862F">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3DF21">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蛋类</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6235B">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不少于1种</w:t>
            </w:r>
          </w:p>
        </w:tc>
      </w:tr>
      <w:tr w14:paraId="0E9C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C58B0B">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午餐</w:t>
            </w: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8C263">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热菜</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A65B1">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不少于4种（1大荤1半荤2素菜）</w:t>
            </w:r>
          </w:p>
        </w:tc>
      </w:tr>
      <w:tr w14:paraId="0B0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56D83C">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A99D2">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主食</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0FA2B">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不少于4种</w:t>
            </w:r>
          </w:p>
        </w:tc>
      </w:tr>
      <w:tr w14:paraId="3591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549915">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D3CB7">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汤类</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F1245">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不少于1种</w:t>
            </w:r>
          </w:p>
        </w:tc>
      </w:tr>
      <w:tr w14:paraId="3B33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tcBorders>
              <w:top w:val="single" w:color="auto" w:sz="4" w:space="0"/>
              <w:left w:val="single" w:color="auto" w:sz="4" w:space="0"/>
              <w:right w:val="single" w:color="auto" w:sz="4" w:space="0"/>
              <w:tl2br w:val="nil"/>
              <w:tr2bl w:val="nil"/>
            </w:tcBorders>
            <w:noWrap w:val="0"/>
            <w:vAlign w:val="center"/>
          </w:tcPr>
          <w:p w14:paraId="4349F79C">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晚餐</w:t>
            </w: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C3686">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热菜</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25792">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不少于4种（含1半荤）</w:t>
            </w:r>
          </w:p>
        </w:tc>
      </w:tr>
      <w:tr w14:paraId="075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left w:val="single" w:color="auto" w:sz="4" w:space="0"/>
              <w:right w:val="single" w:color="auto" w:sz="4" w:space="0"/>
              <w:tl2br w:val="nil"/>
              <w:tr2bl w:val="nil"/>
            </w:tcBorders>
            <w:noWrap w:val="0"/>
            <w:vAlign w:val="center"/>
          </w:tcPr>
          <w:p w14:paraId="4FAF4382">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B232D">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主食</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19676">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不少于2种</w:t>
            </w:r>
          </w:p>
        </w:tc>
      </w:tr>
      <w:tr w14:paraId="6341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Borders>
              <w:left w:val="single" w:color="auto" w:sz="4" w:space="0"/>
              <w:bottom w:val="single" w:color="auto" w:sz="4" w:space="0"/>
              <w:right w:val="single" w:color="auto" w:sz="4" w:space="0"/>
              <w:tl2br w:val="nil"/>
              <w:tr2bl w:val="nil"/>
            </w:tcBorders>
            <w:noWrap w:val="0"/>
            <w:vAlign w:val="center"/>
          </w:tcPr>
          <w:p w14:paraId="7D7A29D6">
            <w:pPr>
              <w:pStyle w:val="43"/>
              <w:spacing w:line="360" w:lineRule="auto"/>
              <w:rPr>
                <w:rFonts w:hint="default" w:ascii="宋体" w:hAnsi="宋体" w:eastAsia="宋体" w:cs="宋体"/>
                <w:color w:val="auto"/>
                <w:sz w:val="21"/>
                <w:szCs w:val="21"/>
                <w:highlight w:val="none"/>
                <w:lang w:val="en-US" w:eastAsia="zh-CN"/>
              </w:rPr>
            </w:pPr>
          </w:p>
        </w:tc>
        <w:tc>
          <w:tcPr>
            <w:tcW w:w="3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16CA0">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汤类</w:t>
            </w:r>
          </w:p>
        </w:tc>
        <w:tc>
          <w:tcPr>
            <w:tcW w:w="4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1B7E8">
            <w:pPr>
              <w:pStyle w:val="43"/>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不少于1种</w:t>
            </w:r>
          </w:p>
        </w:tc>
      </w:tr>
    </w:tbl>
    <w:p w14:paraId="616EA1ED">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服务方原则上按上述品种提供餐食，如有变化</w:t>
      </w:r>
      <w:r>
        <w:rPr>
          <w:rFonts w:hint="eastAsia" w:asciiTheme="minorEastAsia" w:hAnsiTheme="minorEastAsia" w:eastAsiaTheme="minorEastAsia" w:cstheme="minorEastAsia"/>
          <w:color w:val="auto"/>
          <w:highlight w:val="none"/>
          <w:lang w:val="en-US" w:eastAsia="zh-CN"/>
        </w:rPr>
        <w:t>根据甲方需求做出调整</w:t>
      </w:r>
      <w:r>
        <w:rPr>
          <w:rFonts w:hint="eastAsia" w:asciiTheme="minorEastAsia" w:hAnsiTheme="minorEastAsia" w:eastAsiaTheme="minorEastAsia" w:cstheme="minorEastAsia"/>
          <w:color w:val="auto"/>
          <w:highlight w:val="none"/>
        </w:rPr>
        <w:t xml:space="preserve">。 </w:t>
      </w:r>
    </w:p>
    <w:p w14:paraId="6DD554C9">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highlight w:val="none"/>
        </w:rPr>
      </w:pPr>
    </w:p>
    <w:p w14:paraId="699BBF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outlineLvl w:val="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人员配置： </w:t>
      </w:r>
    </w:p>
    <w:p w14:paraId="0E01320E">
      <w:pPr>
        <w:widowControl/>
        <w:spacing w:beforeLines="0" w:afterLines="0" w:line="400" w:lineRule="exact"/>
        <w:ind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结合目前实际情况，为保证服务质量，保持人员稳定，服务方必须保证</w:t>
      </w:r>
      <w:r>
        <w:rPr>
          <w:rFonts w:hint="eastAsia" w:ascii="宋体" w:hAnsi="宋体" w:eastAsia="宋体" w:cs="宋体"/>
          <w:color w:val="auto"/>
          <w:kern w:val="0"/>
          <w:sz w:val="21"/>
          <w:szCs w:val="21"/>
          <w:highlight w:val="none"/>
          <w:lang w:val="en-US" w:eastAsia="zh-CN" w:bidi="ar"/>
        </w:rPr>
        <w:t>不少于要求</w:t>
      </w:r>
      <w:r>
        <w:rPr>
          <w:rFonts w:hint="eastAsia" w:ascii="宋体" w:hAnsi="宋体" w:eastAsia="宋体" w:cs="宋体"/>
          <w:color w:val="auto"/>
          <w:kern w:val="0"/>
          <w:sz w:val="21"/>
          <w:szCs w:val="21"/>
          <w:highlight w:val="none"/>
          <w:lang w:bidi="ar"/>
        </w:rPr>
        <w:t>上岗人数</w:t>
      </w:r>
      <w:r>
        <w:rPr>
          <w:rFonts w:hint="eastAsia" w:ascii="宋体" w:hAnsi="宋体" w:eastAsia="宋体" w:cs="宋体"/>
          <w:color w:val="auto"/>
          <w:kern w:val="0"/>
          <w:sz w:val="21"/>
          <w:szCs w:val="21"/>
          <w:highlight w:val="none"/>
          <w:lang w:val="en-US" w:eastAsia="zh-CN" w:bidi="ar"/>
        </w:rPr>
        <w:t>27人。</w:t>
      </w:r>
    </w:p>
    <w:tbl>
      <w:tblPr>
        <w:tblStyle w:val="27"/>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859"/>
        <w:gridCol w:w="3354"/>
        <w:gridCol w:w="3590"/>
      </w:tblGrid>
      <w:tr w14:paraId="05DD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A7BE8">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职务</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35407">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数量</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A78C4">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负责内容</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FE29A">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相关要求</w:t>
            </w:r>
          </w:p>
        </w:tc>
      </w:tr>
      <w:tr w14:paraId="3EA3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5B37D">
            <w:pPr>
              <w:widowControl/>
              <w:spacing w:beforeLines="0" w:afterLines="0" w:line="400" w:lineRule="exact"/>
              <w:jc w:val="left"/>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项目负责人</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D8A9B">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EE9A4">
            <w:pPr>
              <w:widowControl/>
              <w:spacing w:beforeLines="0" w:afterLines="0" w:line="400" w:lineRule="exact"/>
              <w:jc w:val="left"/>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整体进行管理监督和落实，配合甲方负责人做好本项目结合工作和其他保障性工作</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9798B">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具有独立</w:t>
            </w:r>
            <w:r>
              <w:rPr>
                <w:rFonts w:hint="eastAsia" w:ascii="宋体" w:hAnsi="宋体" w:eastAsia="宋体" w:cs="宋体"/>
                <w:color w:val="auto"/>
                <w:kern w:val="0"/>
                <w:sz w:val="21"/>
                <w:szCs w:val="21"/>
                <w:highlight w:val="none"/>
                <w:lang w:bidi="ar"/>
              </w:rPr>
              <w:t>从事相关</w:t>
            </w:r>
            <w:r>
              <w:rPr>
                <w:rFonts w:hint="eastAsia" w:ascii="宋体" w:hAnsi="宋体" w:cs="宋体"/>
                <w:color w:val="auto"/>
                <w:kern w:val="0"/>
                <w:sz w:val="21"/>
                <w:szCs w:val="21"/>
                <w:highlight w:val="none"/>
                <w:lang w:val="en-US" w:eastAsia="zh-CN" w:bidi="ar"/>
              </w:rPr>
              <w:t>团队</w:t>
            </w:r>
            <w:r>
              <w:rPr>
                <w:rFonts w:hint="eastAsia" w:ascii="宋体" w:hAnsi="宋体" w:eastAsia="宋体" w:cs="宋体"/>
                <w:color w:val="auto"/>
                <w:kern w:val="0"/>
                <w:sz w:val="21"/>
                <w:szCs w:val="21"/>
                <w:highlight w:val="none"/>
                <w:lang w:bidi="ar"/>
              </w:rPr>
              <w:t>管理</w:t>
            </w:r>
            <w:r>
              <w:rPr>
                <w:rFonts w:hint="eastAsia" w:ascii="宋体" w:hAnsi="宋体" w:cs="宋体"/>
                <w:color w:val="auto"/>
                <w:kern w:val="0"/>
                <w:sz w:val="21"/>
                <w:szCs w:val="21"/>
                <w:highlight w:val="none"/>
                <w:lang w:val="en-US" w:eastAsia="zh-CN" w:bidi="ar"/>
              </w:rPr>
              <w:t>工作经验</w:t>
            </w:r>
            <w:r>
              <w:rPr>
                <w:rFonts w:hint="eastAsia" w:ascii="宋体" w:hAnsi="宋体" w:eastAsia="宋体" w:cs="宋体"/>
                <w:color w:val="auto"/>
                <w:kern w:val="0"/>
                <w:sz w:val="21"/>
                <w:szCs w:val="21"/>
                <w:highlight w:val="none"/>
                <w:lang w:bidi="ar"/>
              </w:rPr>
              <w:t>行业不低于5年。</w:t>
            </w:r>
            <w:r>
              <w:rPr>
                <w:rFonts w:hint="eastAsia" w:asciiTheme="minorEastAsia" w:hAnsiTheme="minorEastAsia" w:eastAsiaTheme="minorEastAsia" w:cstheme="minorEastAsia"/>
                <w:color w:val="auto"/>
                <w:sz w:val="21"/>
                <w:szCs w:val="21"/>
                <w:highlight w:val="none"/>
                <w:lang w:val="en-US" w:eastAsia="zh-CN"/>
              </w:rPr>
              <w:t>大专或大专以上学历，同时具有职业技能等级证书（中式烹调师一级高级技师）</w:t>
            </w:r>
          </w:p>
        </w:tc>
      </w:tr>
      <w:tr w14:paraId="35A5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3DF5A">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厨师长</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E3D67">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E9DBC">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监督厨师相关工作，统筹厨房相关事宜。做好对厨师相关培训管理。</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FD8E9">
            <w:pPr>
              <w:widowControl/>
              <w:spacing w:beforeLines="0"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取得技师资格证书后连续从事相关行业不低于3年，对团餐及单餐娴熟</w:t>
            </w:r>
            <w:r>
              <w:rPr>
                <w:rFonts w:hint="eastAsia" w:ascii="宋体" w:hAnsi="宋体" w:cs="宋体"/>
                <w:color w:val="auto"/>
                <w:kern w:val="0"/>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rPr>
              <w:t>同时具有职业技能等级证书（中式烹调师）二级技师及以上</w:t>
            </w:r>
          </w:p>
        </w:tc>
      </w:tr>
      <w:tr w14:paraId="491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8CEE4">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厨师</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835C1">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EFD2F">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做好后厨烹饪工作及凉菜制作</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7F5F7">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取得高级厨师证书后连续从事相关行业不低于3年且有团餐及单餐相关经验</w:t>
            </w:r>
          </w:p>
        </w:tc>
      </w:tr>
      <w:tr w14:paraId="70C6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1DA2F">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面点师</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A29C1B">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D066E">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日常面点制作，中西点制作。</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8EBB9">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不少于1人取得</w:t>
            </w:r>
            <w:r>
              <w:rPr>
                <w:rFonts w:hint="eastAsia" w:asciiTheme="minorEastAsia" w:hAnsiTheme="minorEastAsia" w:eastAsiaTheme="minorEastAsia" w:cstheme="minorEastAsia"/>
                <w:color w:val="auto"/>
                <w:sz w:val="21"/>
                <w:szCs w:val="21"/>
                <w:highlight w:val="none"/>
                <w:lang w:val="en-US" w:eastAsia="zh-CN"/>
              </w:rPr>
              <w:t>职业技能等级证书（中式面点师）二级技师及以上</w:t>
            </w:r>
            <w:r>
              <w:rPr>
                <w:rFonts w:hint="eastAsia" w:ascii="宋体" w:hAnsi="宋体" w:cs="宋体"/>
                <w:color w:val="auto"/>
                <w:kern w:val="0"/>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rPr>
              <w:t>职业技能等级证书（公共营养师）</w:t>
            </w:r>
            <w:r>
              <w:rPr>
                <w:rFonts w:hint="eastAsia" w:ascii="宋体" w:hAnsi="宋体" w:eastAsia="宋体" w:cs="宋体"/>
                <w:color w:val="auto"/>
                <w:kern w:val="0"/>
                <w:sz w:val="21"/>
                <w:szCs w:val="21"/>
                <w:highlight w:val="none"/>
                <w:lang w:bidi="ar"/>
              </w:rPr>
              <w:t>，2人取得不低于中级面点师资格证书。从事相关行业不低于3年且有中式面点及西点经验</w:t>
            </w:r>
          </w:p>
        </w:tc>
      </w:tr>
      <w:tr w14:paraId="445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5B2FC">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切配</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41408">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4548E">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统筹每日所需，做好菜品前期加工处理工作</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AF451">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从事相关事宜不低于3年，对后厨原材料配备使用娴熟。</w:t>
            </w:r>
          </w:p>
        </w:tc>
      </w:tr>
      <w:tr w14:paraId="6E57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696E5">
            <w:pPr>
              <w:widowControl/>
              <w:spacing w:beforeLines="0"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前厅</w:t>
            </w:r>
            <w:r>
              <w:rPr>
                <w:rFonts w:hint="eastAsia" w:ascii="宋体" w:hAnsi="宋体" w:cs="宋体"/>
                <w:color w:val="auto"/>
                <w:kern w:val="0"/>
                <w:sz w:val="21"/>
                <w:szCs w:val="21"/>
                <w:highlight w:val="none"/>
                <w:lang w:val="en-US" w:eastAsia="zh-CN" w:bidi="ar"/>
              </w:rPr>
              <w:t>主管</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736AD">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C9C01">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统筹服务人员相关工作事宜，做好对服务人员的相关培训和管理</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2D28F">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从事相关服务管理工作经验不低于</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年，对服务内容及各项服务事宜娴熟，有培训管理经验</w:t>
            </w:r>
          </w:p>
        </w:tc>
      </w:tr>
      <w:tr w14:paraId="4F93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8541A">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服务员</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69C97">
            <w:pPr>
              <w:widowControl/>
              <w:spacing w:beforeLines="0"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52270">
            <w:pPr>
              <w:widowControl/>
              <w:spacing w:beforeLines="0" w:afterLines="0" w:line="400" w:lineRule="exact"/>
              <w:jc w:val="left"/>
              <w:rPr>
                <w:rFonts w:hint="eastAsia" w:ascii="宋体" w:hAnsi="宋体" w:eastAsia="宋体" w:cs="宋体"/>
                <w:color w:val="auto"/>
                <w:kern w:val="0"/>
                <w:sz w:val="21"/>
                <w:szCs w:val="21"/>
                <w:highlight w:val="none"/>
                <w:lang w:bidi="ar"/>
              </w:rPr>
            </w:pP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C6A7C">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不少于3人均</w:t>
            </w:r>
            <w:r>
              <w:rPr>
                <w:rFonts w:hint="eastAsia" w:ascii="宋体" w:hAnsi="宋体" w:cs="宋体"/>
                <w:color w:val="auto"/>
                <w:kern w:val="0"/>
                <w:sz w:val="21"/>
                <w:szCs w:val="21"/>
                <w:highlight w:val="none"/>
                <w:lang w:val="en-US" w:eastAsia="zh-CN" w:bidi="ar"/>
              </w:rPr>
              <w:t>从事机关事业单位或企业独立服务工作经验不低于2年，具有良好的服务意识，</w:t>
            </w:r>
            <w:r>
              <w:rPr>
                <w:rFonts w:hint="eastAsia" w:ascii="宋体" w:hAnsi="宋体" w:eastAsia="宋体" w:cs="宋体"/>
                <w:color w:val="auto"/>
                <w:kern w:val="0"/>
                <w:sz w:val="21"/>
                <w:szCs w:val="21"/>
                <w:highlight w:val="none"/>
                <w:lang w:bidi="ar"/>
              </w:rPr>
              <w:t>对中餐6大技能娴熟。其他服务工作人员</w:t>
            </w:r>
            <w:r>
              <w:rPr>
                <w:rFonts w:hint="eastAsia" w:ascii="宋体" w:hAnsi="宋体" w:cs="宋体"/>
                <w:color w:val="auto"/>
                <w:kern w:val="0"/>
                <w:sz w:val="21"/>
                <w:szCs w:val="21"/>
                <w:highlight w:val="none"/>
                <w:lang w:val="en-US" w:eastAsia="zh-CN" w:bidi="ar"/>
              </w:rPr>
              <w:t>参与服务工作经验</w:t>
            </w:r>
            <w:r>
              <w:rPr>
                <w:rFonts w:hint="eastAsia" w:ascii="宋体" w:hAnsi="宋体" w:eastAsia="宋体" w:cs="宋体"/>
                <w:color w:val="auto"/>
                <w:kern w:val="0"/>
                <w:sz w:val="21"/>
                <w:szCs w:val="21"/>
                <w:highlight w:val="none"/>
                <w:lang w:bidi="ar"/>
              </w:rPr>
              <w:t>不低于</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年</w:t>
            </w:r>
          </w:p>
        </w:tc>
      </w:tr>
      <w:tr w14:paraId="4E0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D3FDD">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洗碗工</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3B439">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419CA">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后厨相关及前厅相关洗刷工作</w:t>
            </w:r>
          </w:p>
        </w:tc>
        <w:tc>
          <w:tcPr>
            <w:tcW w:w="35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B61177">
            <w:pPr>
              <w:widowControl/>
              <w:spacing w:beforeLines="0" w:afterLines="0" w:line="400" w:lineRule="exact"/>
              <w:jc w:val="left"/>
              <w:rPr>
                <w:rFonts w:hint="eastAsia" w:ascii="宋体" w:hAnsi="宋体" w:eastAsia="宋体" w:cs="宋体"/>
                <w:color w:val="auto"/>
                <w:kern w:val="0"/>
                <w:sz w:val="21"/>
                <w:szCs w:val="21"/>
                <w:highlight w:val="none"/>
                <w:lang w:bidi="ar"/>
              </w:rPr>
            </w:pPr>
          </w:p>
        </w:tc>
      </w:tr>
    </w:tbl>
    <w:p w14:paraId="71884F03">
      <w:pPr>
        <w:widowControl/>
        <w:spacing w:beforeLines="0" w:afterLines="0" w:line="400" w:lineRule="exact"/>
        <w:jc w:val="left"/>
        <w:rPr>
          <w:rFonts w:hint="eastAsia" w:ascii="宋体" w:hAnsi="宋体" w:eastAsia="宋体" w:cs="宋体"/>
          <w:color w:val="auto"/>
          <w:kern w:val="0"/>
          <w:sz w:val="21"/>
          <w:szCs w:val="21"/>
          <w:highlight w:val="none"/>
          <w:lang w:bidi="ar"/>
        </w:rPr>
      </w:pPr>
    </w:p>
    <w:p w14:paraId="51F82B36">
      <w:pPr>
        <w:widowControl/>
        <w:spacing w:beforeLines="0" w:afterLines="0" w:line="400" w:lineRule="exact"/>
        <w:jc w:val="left"/>
        <w:rPr>
          <w:rFonts w:hint="eastAsia" w:ascii="宋体" w:hAnsi="宋体" w:eastAsia="宋体" w:cs="宋体"/>
          <w:color w:val="auto"/>
          <w:kern w:val="0"/>
          <w:sz w:val="21"/>
          <w:szCs w:val="21"/>
          <w:highlight w:val="none"/>
          <w:lang w:bidi="ar"/>
        </w:rPr>
      </w:pPr>
    </w:p>
    <w:p w14:paraId="68C68DA6">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（2）服务方对人员确需调整的，书面报甲方负责人同意后再予以更换。</w:t>
      </w:r>
    </w:p>
    <w:p w14:paraId="24B599EB">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（3）如人员不能满足甲方需求的，甲方书面向服务方提出要求后七个工作日予以解决，拒不调整的，甲方可根据实际工作量扣减外包费用的1%。 </w:t>
      </w:r>
    </w:p>
    <w:p w14:paraId="3C1540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outlineLvl w:val="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项目服务承诺要求 </w:t>
      </w:r>
    </w:p>
    <w:p w14:paraId="6744F5C1">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（1）服务方指定负责人</w:t>
      </w:r>
      <w:r>
        <w:rPr>
          <w:rFonts w:hint="eastAsia" w:ascii="宋体" w:hAnsi="宋体" w:cs="宋体"/>
          <w:color w:val="auto"/>
          <w:kern w:val="0"/>
          <w:sz w:val="21"/>
          <w:szCs w:val="21"/>
          <w:highlight w:val="none"/>
          <w:lang w:val="en-US" w:eastAsia="zh-CN" w:bidi="ar"/>
        </w:rPr>
        <w:t>驻守本项目</w:t>
      </w:r>
      <w:r>
        <w:rPr>
          <w:rFonts w:hint="eastAsia" w:ascii="宋体" w:hAnsi="宋体" w:eastAsia="宋体" w:cs="宋体"/>
          <w:color w:val="auto"/>
          <w:kern w:val="0"/>
          <w:sz w:val="21"/>
          <w:szCs w:val="21"/>
          <w:highlight w:val="none"/>
          <w:lang w:bidi="ar"/>
        </w:rPr>
        <w:t>与</w:t>
      </w:r>
      <w:r>
        <w:rPr>
          <w:rFonts w:hint="eastAsia" w:ascii="宋体" w:hAnsi="宋体" w:eastAsia="宋体" w:cs="宋体"/>
          <w:color w:val="auto"/>
          <w:kern w:val="0"/>
          <w:sz w:val="21"/>
          <w:szCs w:val="21"/>
          <w:highlight w:val="none"/>
          <w:lang w:eastAsia="zh-CN" w:bidi="ar"/>
        </w:rPr>
        <w:t>河南省生态环境厅及相关使用单位</w:t>
      </w:r>
      <w:r>
        <w:rPr>
          <w:rFonts w:hint="eastAsia" w:ascii="宋体" w:hAnsi="宋体" w:eastAsia="宋体" w:cs="宋体"/>
          <w:color w:val="auto"/>
          <w:kern w:val="0"/>
          <w:sz w:val="21"/>
          <w:szCs w:val="21"/>
          <w:highlight w:val="none"/>
          <w:lang w:bidi="ar"/>
        </w:rPr>
        <w:t xml:space="preserve">保持联系，听取意见，及时整改问题。 </w:t>
      </w:r>
    </w:p>
    <w:p w14:paraId="23AE0BF9">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（2）服务方不得将职工食堂管理项目进行任何方式的分包、转租。 </w:t>
      </w:r>
    </w:p>
    <w:p w14:paraId="31D2DEBF">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（3）服务方必须为服务人员提供宿舍，且与甲方单位交通通行便利。 </w:t>
      </w:r>
    </w:p>
    <w:p w14:paraId="07C9303B">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（4）服务方严格执行国家法律法规，为员工缴纳社会劳动统筹、办理健康证等，所有服务人员必须持健康证上岗。 </w:t>
      </w:r>
    </w:p>
    <w:p w14:paraId="0F6D6851">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（5）服务方必须对招标文件中提出的服务内容和各项要求做出明确承诺，说明是否可以达到相应的标准要求。 </w:t>
      </w:r>
    </w:p>
    <w:p w14:paraId="096EEB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outlineLvl w:val="2"/>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2.商务要求</w:t>
      </w:r>
    </w:p>
    <w:p w14:paraId="00743089">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 xml:space="preserve">、项目服务年限要求 </w:t>
      </w:r>
    </w:p>
    <w:p w14:paraId="4F9EA475">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本项目服务期为</w:t>
      </w:r>
      <w:r>
        <w:rPr>
          <w:rFonts w:hint="eastAsia" w:ascii="宋体" w:hAnsi="宋体" w:eastAsia="宋体" w:cs="宋体"/>
          <w:color w:val="auto"/>
          <w:kern w:val="0"/>
          <w:sz w:val="21"/>
          <w:szCs w:val="21"/>
          <w:highlight w:val="none"/>
          <w:lang w:eastAsia="zh-CN" w:bidi="ar"/>
        </w:rPr>
        <w:t>两</w:t>
      </w:r>
      <w:r>
        <w:rPr>
          <w:rFonts w:hint="eastAsia" w:ascii="宋体" w:hAnsi="宋体" w:eastAsia="宋体" w:cs="宋体"/>
          <w:color w:val="auto"/>
          <w:kern w:val="0"/>
          <w:sz w:val="21"/>
          <w:szCs w:val="21"/>
          <w:highlight w:val="none"/>
          <w:lang w:bidi="ar"/>
        </w:rPr>
        <w:t>年。</w:t>
      </w:r>
    </w:p>
    <w:p w14:paraId="08BEA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outlineLvl w:val="2"/>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3.其他要求</w:t>
      </w:r>
    </w:p>
    <w:p w14:paraId="46101265">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 xml:space="preserve">、项目付款要求 </w:t>
      </w:r>
    </w:p>
    <w:p w14:paraId="42FD00DD">
      <w:pPr>
        <w:widowControl/>
        <w:spacing w:beforeLines="0"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相关费用支付比例：河南省生态环境厅大约55%；河南省生态环境监测和安全中心大约36%；河南省生态环境技术中心大约9%。三家单位分别与中标人签订合同。</w:t>
      </w:r>
    </w:p>
    <w:p w14:paraId="734965FD">
      <w:pPr>
        <w:widowControl/>
        <w:spacing w:beforeLines="0" w:afterLines="0"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河南省生态环境厅、河南省生态环境监测和安全中心及河南省生态环境技术中心</w:t>
      </w:r>
      <w:r>
        <w:rPr>
          <w:rFonts w:hint="eastAsia" w:ascii="宋体" w:hAnsi="宋体" w:eastAsia="宋体" w:cs="宋体"/>
          <w:color w:val="auto"/>
          <w:kern w:val="0"/>
          <w:sz w:val="21"/>
          <w:szCs w:val="21"/>
          <w:highlight w:val="none"/>
          <w:lang w:bidi="ar"/>
        </w:rPr>
        <w:t>按月对服务方上月产生的费用进行支付，经双方对金额核对后，乙方每月底前开据符合国家规定的税务发票给甲方，甲方于次月支付相应的劳务服务费用。</w:t>
      </w:r>
    </w:p>
    <w:p w14:paraId="00EAB6E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b/>
          <w:bCs/>
          <w:color w:val="auto"/>
          <w:sz w:val="24"/>
          <w:szCs w:val="24"/>
          <w:highlight w:val="none"/>
          <w:lang w:val="en-US" w:eastAsia="zh-CN"/>
        </w:rPr>
      </w:pPr>
    </w:p>
    <w:bookmarkEnd w:id="591"/>
    <w:p w14:paraId="6E2130F8">
      <w:pPr>
        <w:rPr>
          <w:rFonts w:hint="eastAsia" w:ascii="宋体" w:hAnsi="宋体" w:eastAsia="宋体"/>
          <w:b/>
          <w:highlight w:val="none"/>
        </w:rPr>
      </w:pPr>
      <w:bookmarkStart w:id="592" w:name="_Toc24220"/>
      <w:bookmarkStart w:id="593" w:name="_Toc16269"/>
      <w:bookmarkStart w:id="594" w:name="_Toc4028"/>
      <w:bookmarkStart w:id="595" w:name="_Toc18976"/>
      <w:bookmarkStart w:id="596" w:name="_Hlk56617750"/>
    </w:p>
    <w:p w14:paraId="7FD2AADA">
      <w:pPr>
        <w:pStyle w:val="44"/>
        <w:spacing w:line="360" w:lineRule="auto"/>
        <w:ind w:firstLine="843" w:firstLineChars="300"/>
        <w:jc w:val="center"/>
        <w:rPr>
          <w:rFonts w:ascii="宋体" w:hAnsi="宋体" w:eastAsia="宋体"/>
          <w:b/>
          <w:highlight w:val="none"/>
        </w:rPr>
      </w:pPr>
      <w:r>
        <w:rPr>
          <w:rFonts w:hint="eastAsia" w:ascii="宋体" w:hAnsi="宋体" w:eastAsia="宋体"/>
          <w:b/>
          <w:highlight w:val="none"/>
        </w:rPr>
        <w:t>第四章 磋商内容、磋商过程中可能实质性变动的内容</w:t>
      </w:r>
      <w:bookmarkEnd w:id="592"/>
      <w:bookmarkEnd w:id="593"/>
      <w:bookmarkEnd w:id="594"/>
      <w:bookmarkEnd w:id="595"/>
    </w:p>
    <w:p w14:paraId="3B640529">
      <w:pPr>
        <w:widowControl/>
        <w:snapToGrid w:val="0"/>
        <w:spacing w:line="360" w:lineRule="auto"/>
        <w:jc w:val="left"/>
        <w:rPr>
          <w:rFonts w:ascii="宋体" w:hAnsi="宋体" w:cs="宋体"/>
          <w:bCs/>
          <w:kern w:val="0"/>
          <w:sz w:val="24"/>
          <w:highlight w:val="none"/>
        </w:rPr>
      </w:pPr>
    </w:p>
    <w:p w14:paraId="2CE69EC3">
      <w:pPr>
        <w:widowControl/>
        <w:snapToGrid w:val="0"/>
        <w:spacing w:line="360" w:lineRule="auto"/>
        <w:ind w:firstLine="480" w:firstLineChars="200"/>
        <w:jc w:val="left"/>
        <w:rPr>
          <w:rFonts w:ascii="宋体" w:hAnsi="宋体" w:cs="宋体"/>
          <w:sz w:val="24"/>
          <w:highlight w:val="none"/>
        </w:rPr>
      </w:pPr>
      <w:bookmarkStart w:id="597" w:name="_Hlk57215744"/>
      <w:r>
        <w:rPr>
          <w:rFonts w:hint="eastAsia" w:ascii="宋体" w:hAnsi="宋体" w:cs="宋体"/>
          <w:bCs/>
          <w:kern w:val="0"/>
          <w:sz w:val="24"/>
          <w:highlight w:val="none"/>
        </w:rPr>
        <w:t>1、磋商小组根据与供应商磋商情况可能实质性变动的内容：无。</w:t>
      </w:r>
    </w:p>
    <w:p w14:paraId="7324BF71">
      <w:pPr>
        <w:spacing w:line="360" w:lineRule="auto"/>
        <w:rPr>
          <w:rFonts w:ascii="宋体" w:hAnsi="宋体" w:cs="宋体"/>
          <w:sz w:val="24"/>
          <w:highlight w:val="none"/>
        </w:rPr>
      </w:pPr>
    </w:p>
    <w:p w14:paraId="551D8DEF">
      <w:pPr>
        <w:spacing w:line="360" w:lineRule="auto"/>
        <w:rPr>
          <w:rFonts w:ascii="宋体" w:hAnsi="宋体" w:cs="宋体"/>
          <w:sz w:val="24"/>
          <w:highlight w:val="none"/>
        </w:rPr>
      </w:pPr>
    </w:p>
    <w:bookmarkEnd w:id="596"/>
    <w:p w14:paraId="6F503B42">
      <w:pPr>
        <w:spacing w:line="360" w:lineRule="auto"/>
        <w:ind w:firstLine="480" w:firstLineChars="200"/>
        <w:rPr>
          <w:rFonts w:ascii="宋体" w:hAnsi="宋体" w:cs="宋体"/>
          <w:bCs/>
          <w:kern w:val="0"/>
          <w:sz w:val="24"/>
          <w:highlight w:val="none"/>
        </w:rPr>
      </w:pPr>
    </w:p>
    <w:bookmarkEnd w:id="597"/>
    <w:p w14:paraId="1CF2BA30">
      <w:pPr>
        <w:spacing w:line="360" w:lineRule="auto"/>
        <w:rPr>
          <w:rFonts w:ascii="宋体" w:hAnsi="宋体" w:cs="宋体"/>
          <w:sz w:val="24"/>
          <w:highlight w:val="none"/>
        </w:rPr>
      </w:pPr>
    </w:p>
    <w:p w14:paraId="30F1674B">
      <w:pPr>
        <w:spacing w:line="360" w:lineRule="auto"/>
        <w:rPr>
          <w:rFonts w:ascii="宋体" w:hAnsi="宋体" w:cs="宋体"/>
          <w:sz w:val="24"/>
          <w:highlight w:val="none"/>
        </w:rPr>
      </w:pPr>
    </w:p>
    <w:p w14:paraId="6E45C96C">
      <w:pPr>
        <w:spacing w:line="360" w:lineRule="auto"/>
        <w:rPr>
          <w:rFonts w:ascii="宋体" w:hAnsi="宋体" w:cs="宋体"/>
          <w:sz w:val="24"/>
          <w:highlight w:val="none"/>
        </w:rPr>
      </w:pPr>
    </w:p>
    <w:p w14:paraId="5B905C09">
      <w:pPr>
        <w:spacing w:line="360" w:lineRule="auto"/>
        <w:rPr>
          <w:rFonts w:ascii="宋体" w:hAnsi="宋体" w:cs="宋体"/>
          <w:sz w:val="24"/>
          <w:highlight w:val="none"/>
        </w:rPr>
      </w:pPr>
    </w:p>
    <w:p w14:paraId="17950F8B">
      <w:pPr>
        <w:spacing w:line="360" w:lineRule="auto"/>
        <w:rPr>
          <w:rFonts w:ascii="宋体" w:hAnsi="宋体" w:cs="宋体"/>
          <w:sz w:val="24"/>
          <w:highlight w:val="none"/>
        </w:rPr>
      </w:pPr>
    </w:p>
    <w:p w14:paraId="51F5FD15">
      <w:pPr>
        <w:spacing w:line="360" w:lineRule="auto"/>
        <w:rPr>
          <w:rFonts w:ascii="宋体" w:hAnsi="宋体" w:cs="宋体"/>
          <w:sz w:val="24"/>
          <w:highlight w:val="none"/>
        </w:rPr>
      </w:pPr>
    </w:p>
    <w:p w14:paraId="66D3D697">
      <w:pPr>
        <w:spacing w:line="360" w:lineRule="auto"/>
        <w:rPr>
          <w:rFonts w:ascii="宋体" w:hAnsi="宋体" w:cs="宋体"/>
          <w:sz w:val="24"/>
          <w:highlight w:val="none"/>
        </w:rPr>
      </w:pPr>
    </w:p>
    <w:p w14:paraId="1EB4E8D5">
      <w:pPr>
        <w:spacing w:line="360" w:lineRule="auto"/>
        <w:rPr>
          <w:rFonts w:ascii="宋体" w:hAnsi="宋体" w:cs="宋体"/>
          <w:sz w:val="24"/>
          <w:highlight w:val="none"/>
        </w:rPr>
      </w:pPr>
    </w:p>
    <w:p w14:paraId="1FEA9B0D">
      <w:pPr>
        <w:spacing w:line="360" w:lineRule="auto"/>
        <w:rPr>
          <w:rFonts w:ascii="宋体" w:hAnsi="宋体" w:cs="宋体"/>
          <w:sz w:val="24"/>
          <w:highlight w:val="none"/>
        </w:rPr>
      </w:pPr>
    </w:p>
    <w:p w14:paraId="57DD0FBC">
      <w:pPr>
        <w:spacing w:line="360" w:lineRule="auto"/>
        <w:rPr>
          <w:rFonts w:ascii="宋体" w:hAnsi="宋体" w:cs="宋体"/>
          <w:sz w:val="24"/>
          <w:highlight w:val="none"/>
        </w:rPr>
      </w:pPr>
    </w:p>
    <w:p w14:paraId="57BFC03B">
      <w:pPr>
        <w:spacing w:line="360" w:lineRule="auto"/>
        <w:rPr>
          <w:rFonts w:ascii="宋体" w:hAnsi="宋体" w:cs="宋体"/>
          <w:sz w:val="24"/>
          <w:highlight w:val="none"/>
        </w:rPr>
      </w:pPr>
    </w:p>
    <w:p w14:paraId="469B1491">
      <w:pPr>
        <w:spacing w:line="360" w:lineRule="auto"/>
        <w:rPr>
          <w:rFonts w:ascii="宋体" w:hAnsi="宋体" w:cs="宋体"/>
          <w:sz w:val="24"/>
          <w:highlight w:val="none"/>
        </w:rPr>
      </w:pPr>
    </w:p>
    <w:p w14:paraId="46E52788">
      <w:pPr>
        <w:spacing w:line="360" w:lineRule="auto"/>
        <w:rPr>
          <w:rFonts w:ascii="宋体" w:hAnsi="宋体" w:cs="宋体"/>
          <w:sz w:val="24"/>
          <w:highlight w:val="none"/>
        </w:rPr>
      </w:pPr>
    </w:p>
    <w:p w14:paraId="4480CA20">
      <w:pPr>
        <w:spacing w:line="360" w:lineRule="auto"/>
        <w:rPr>
          <w:rFonts w:ascii="宋体" w:hAnsi="宋体" w:cs="宋体"/>
          <w:sz w:val="24"/>
          <w:highlight w:val="none"/>
        </w:rPr>
      </w:pPr>
      <w:r>
        <w:rPr>
          <w:rFonts w:hint="eastAsia" w:ascii="宋体" w:hAnsi="宋体" w:cs="宋体"/>
          <w:sz w:val="24"/>
          <w:highlight w:val="none"/>
        </w:rPr>
        <w:br w:type="page"/>
      </w:r>
    </w:p>
    <w:p w14:paraId="56C1C3FB">
      <w:pPr>
        <w:pStyle w:val="44"/>
        <w:tabs>
          <w:tab w:val="left" w:pos="0"/>
        </w:tabs>
        <w:autoSpaceDE w:val="0"/>
        <w:autoSpaceDN w:val="0"/>
        <w:adjustRightInd w:val="0"/>
        <w:spacing w:before="0" w:line="360" w:lineRule="auto"/>
        <w:ind w:left="-15" w:firstLine="1405" w:firstLineChars="500"/>
        <w:jc w:val="center"/>
        <w:rPr>
          <w:rFonts w:ascii="宋体" w:hAnsi="宋体" w:eastAsia="宋体"/>
          <w:b/>
          <w:highlight w:val="none"/>
        </w:rPr>
      </w:pPr>
      <w:bookmarkStart w:id="598" w:name="_Toc515647832"/>
      <w:bookmarkStart w:id="599" w:name="_Toc15048360"/>
      <w:bookmarkStart w:id="600" w:name="_Toc532473756"/>
      <w:bookmarkStart w:id="601" w:name="_Toc32647"/>
      <w:bookmarkStart w:id="602" w:name="_Toc532044540"/>
      <w:bookmarkStart w:id="603" w:name="_Toc7971"/>
      <w:bookmarkStart w:id="604" w:name="_Toc507399907"/>
      <w:bookmarkStart w:id="605" w:name="_Toc30166"/>
      <w:bookmarkStart w:id="606" w:name="_Toc18489"/>
      <w:bookmarkStart w:id="607" w:name="_Toc18310"/>
      <w:r>
        <w:rPr>
          <w:rFonts w:hint="eastAsia" w:ascii="宋体" w:hAnsi="宋体" w:eastAsia="宋体"/>
          <w:b/>
          <w:highlight w:val="none"/>
        </w:rPr>
        <w:t>第五章  磋商程序、评审方法</w:t>
      </w:r>
      <w:bookmarkEnd w:id="598"/>
      <w:bookmarkEnd w:id="599"/>
      <w:bookmarkEnd w:id="600"/>
      <w:bookmarkEnd w:id="601"/>
      <w:bookmarkEnd w:id="602"/>
      <w:bookmarkEnd w:id="603"/>
      <w:bookmarkEnd w:id="604"/>
      <w:r>
        <w:rPr>
          <w:rFonts w:hint="eastAsia" w:ascii="宋体" w:hAnsi="宋体" w:eastAsia="宋体"/>
          <w:b/>
          <w:highlight w:val="none"/>
        </w:rPr>
        <w:t>及评审标准</w:t>
      </w:r>
      <w:bookmarkEnd w:id="605"/>
      <w:bookmarkEnd w:id="606"/>
      <w:bookmarkEnd w:id="607"/>
    </w:p>
    <w:p w14:paraId="24ECC398">
      <w:pPr>
        <w:pStyle w:val="10"/>
        <w:spacing w:line="360" w:lineRule="auto"/>
        <w:ind w:firstLine="472" w:firstLineChars="225"/>
        <w:rPr>
          <w:rFonts w:ascii="宋体" w:hAnsi="宋体" w:cs="宋体"/>
          <w:highlight w:val="none"/>
        </w:rPr>
      </w:pPr>
    </w:p>
    <w:p w14:paraId="687BD3EC">
      <w:pPr>
        <w:pStyle w:val="10"/>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磋商小组将按照本项目采购文件及相关法律法规的规定进行磋商及评审工作，采购代理机构负责磋商的组织工作。</w:t>
      </w:r>
    </w:p>
    <w:p w14:paraId="79FC5638">
      <w:pPr>
        <w:pStyle w:val="10"/>
        <w:snapToGrid w:val="0"/>
        <w:spacing w:after="0" w:line="360" w:lineRule="auto"/>
        <w:ind w:firstLine="415"/>
        <w:jc w:val="left"/>
        <w:rPr>
          <w:rFonts w:ascii="宋体" w:hAnsi="宋体" w:cs="宋体"/>
          <w:bCs/>
          <w:sz w:val="24"/>
          <w:szCs w:val="24"/>
          <w:highlight w:val="none"/>
        </w:rPr>
      </w:pPr>
      <w:r>
        <w:rPr>
          <w:rFonts w:hint="eastAsia" w:ascii="宋体" w:hAnsi="宋体" w:cs="宋体"/>
          <w:bCs/>
          <w:sz w:val="24"/>
          <w:szCs w:val="24"/>
          <w:highlight w:val="none"/>
        </w:rPr>
        <w:t>（一）、磋商及评审依据</w:t>
      </w:r>
    </w:p>
    <w:p w14:paraId="2010E0A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1、法律法规的相关规定；</w:t>
      </w:r>
    </w:p>
    <w:p w14:paraId="0F35E70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w:t>
      </w:r>
      <w:bookmarkStart w:id="608" w:name="_Hlk57218804"/>
      <w:bookmarkStart w:id="609" w:name="_Hlk57215803"/>
      <w:r>
        <w:rPr>
          <w:rFonts w:hint="eastAsia" w:ascii="宋体" w:hAnsi="宋体" w:cs="宋体"/>
          <w:bCs/>
          <w:sz w:val="24"/>
          <w:highlight w:val="none"/>
        </w:rPr>
        <w:t>本级或上级</w:t>
      </w:r>
      <w:bookmarkEnd w:id="608"/>
      <w:r>
        <w:rPr>
          <w:rFonts w:hint="eastAsia" w:ascii="宋体" w:hAnsi="宋体" w:cs="宋体"/>
          <w:bCs/>
          <w:sz w:val="24"/>
          <w:highlight w:val="none"/>
        </w:rPr>
        <w:t>政府采购主管部门的相关规定</w:t>
      </w:r>
      <w:bookmarkEnd w:id="609"/>
      <w:r>
        <w:rPr>
          <w:rFonts w:hint="eastAsia" w:ascii="宋体" w:hAnsi="宋体" w:cs="宋体"/>
          <w:bCs/>
          <w:sz w:val="24"/>
          <w:highlight w:val="none"/>
        </w:rPr>
        <w:t>；</w:t>
      </w:r>
    </w:p>
    <w:p w14:paraId="56555780">
      <w:pPr>
        <w:pStyle w:val="10"/>
        <w:snapToGrid w:val="0"/>
        <w:spacing w:after="0"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3、本项目采购文件。</w:t>
      </w:r>
    </w:p>
    <w:p w14:paraId="2D5EFBF2">
      <w:pPr>
        <w:snapToGrid w:val="0"/>
        <w:spacing w:line="360" w:lineRule="auto"/>
        <w:rPr>
          <w:rFonts w:ascii="宋体" w:hAnsi="宋体" w:cs="宋体"/>
          <w:bCs/>
          <w:sz w:val="24"/>
          <w:highlight w:val="none"/>
        </w:rPr>
      </w:pPr>
      <w:r>
        <w:rPr>
          <w:rFonts w:hint="eastAsia" w:ascii="宋体" w:hAnsi="宋体" w:cs="宋体"/>
          <w:bCs/>
          <w:sz w:val="24"/>
          <w:highlight w:val="none"/>
        </w:rPr>
        <w:t>（二）、磋商原则</w:t>
      </w:r>
    </w:p>
    <w:p w14:paraId="2DAC52B1">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1、磋商小组成员应当按照客观、公正、审慎的原则，根据磋商文件规定的评审程序、评审方法和评审标准进行独立评审。</w:t>
      </w:r>
    </w:p>
    <w:p w14:paraId="38A7A935">
      <w:pPr>
        <w:snapToGrid w:val="0"/>
        <w:spacing w:line="360" w:lineRule="auto"/>
        <w:rPr>
          <w:rFonts w:ascii="宋体" w:hAnsi="宋体" w:cs="宋体"/>
          <w:bCs/>
          <w:sz w:val="24"/>
          <w:highlight w:val="none"/>
        </w:rPr>
      </w:pPr>
      <w:r>
        <w:rPr>
          <w:rFonts w:hint="eastAsia" w:ascii="宋体" w:hAnsi="宋体" w:cs="宋体"/>
          <w:bCs/>
          <w:sz w:val="24"/>
          <w:highlight w:val="none"/>
        </w:rPr>
        <w:t>（三）、组建磋商小组</w:t>
      </w:r>
    </w:p>
    <w:p w14:paraId="174E46C9">
      <w:pPr>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1、采购人与采购代理机构将按照相关法律</w:t>
      </w:r>
      <w:r>
        <w:rPr>
          <w:rFonts w:hint="eastAsia" w:ascii="宋体" w:hAnsi="宋体" w:cs="宋体"/>
          <w:sz w:val="24"/>
          <w:highlight w:val="none"/>
        </w:rPr>
        <w:t>法规及财政部门的有关规定依法组建竞争性磋商小组（以下简称磋商小组），负责本项目的磋商及评审工作。</w:t>
      </w:r>
    </w:p>
    <w:p w14:paraId="713BF45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磋商小组由采购人代表和评审专家组成，成员人数为三人以上单数。其中，评审专家不得少于成员总数的三分之二。技术复杂、专业性强的采购项目，评审专家中应当包含1名法律专家。具体成员人数见供应商须知前附表。评审专家于磋商开始前在《河南省财政厅政府采购专家库》中随机抽取，并依法组建磋商小组。在成交人确定前，有关人员对磋商小组成员名单必须严格保密，与供应商有利害关系的人员不得进入磋商小组；</w:t>
      </w:r>
    </w:p>
    <w:p w14:paraId="40BA66C6">
      <w:pPr>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3、参加评审的人员应严格遵守国家有关保密的法</w:t>
      </w:r>
      <w:r>
        <w:rPr>
          <w:rFonts w:hint="eastAsia" w:ascii="宋体" w:hAnsi="宋体" w:cs="宋体"/>
          <w:sz w:val="24"/>
          <w:highlight w:val="none"/>
        </w:rPr>
        <w:t>律、法规和规定，并接受有关部门的监督；</w:t>
      </w:r>
    </w:p>
    <w:p w14:paraId="7AE59AF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4、根据相关法律法规的规定，参加评审的有关人员应对整个磋商、评审过程保密，不得泄露；</w:t>
      </w:r>
    </w:p>
    <w:p w14:paraId="2455F5C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5、磋商小组成员应按规定的程序进行磋商及评审；</w:t>
      </w:r>
    </w:p>
    <w:p w14:paraId="1F211DC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6、磋商小组将对确定为实质上响应磋商文件要求的供应商进行磋商并对其响应文件进行评审。</w:t>
      </w:r>
    </w:p>
    <w:p w14:paraId="6CA86D7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7、供应商对评审专家施加影响的任何行为，都将被取消成交资格。</w:t>
      </w:r>
    </w:p>
    <w:p w14:paraId="1F833F78">
      <w:pPr>
        <w:pStyle w:val="10"/>
        <w:spacing w:after="0" w:line="360" w:lineRule="auto"/>
        <w:ind w:firstLine="720" w:firstLineChars="300"/>
        <w:jc w:val="left"/>
        <w:rPr>
          <w:rFonts w:ascii="宋体" w:hAnsi="宋体" w:cs="宋体"/>
          <w:bCs/>
          <w:sz w:val="24"/>
          <w:szCs w:val="24"/>
          <w:highlight w:val="none"/>
        </w:rPr>
      </w:pPr>
    </w:p>
    <w:p w14:paraId="5A97064A">
      <w:pPr>
        <w:pStyle w:val="10"/>
        <w:spacing w:after="0" w:line="360" w:lineRule="auto"/>
        <w:ind w:firstLine="415"/>
        <w:rPr>
          <w:rFonts w:ascii="宋体" w:hAnsi="宋体" w:cs="宋体"/>
          <w:sz w:val="24"/>
          <w:szCs w:val="24"/>
          <w:highlight w:val="none"/>
        </w:rPr>
      </w:pPr>
      <w:r>
        <w:rPr>
          <w:rFonts w:hint="eastAsia" w:ascii="宋体" w:hAnsi="宋体" w:cs="宋体"/>
          <w:sz w:val="24"/>
          <w:szCs w:val="24"/>
          <w:highlight w:val="none"/>
        </w:rPr>
        <w:t>（四）、磋商准备工作（由采购人负责）</w:t>
      </w:r>
    </w:p>
    <w:p w14:paraId="19AD1E0E">
      <w:pPr>
        <w:pStyle w:val="10"/>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1、核对评审专家身份和采购人代表授权函；</w:t>
      </w:r>
    </w:p>
    <w:p w14:paraId="18CCC32E">
      <w:pPr>
        <w:pStyle w:val="10"/>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2、宣布评审纪律，集中保管通讯工具；</w:t>
      </w:r>
    </w:p>
    <w:p w14:paraId="799AA8E2">
      <w:pPr>
        <w:pStyle w:val="10"/>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3、公布供应商名单，告知评审专家应当回避的情形；</w:t>
      </w:r>
    </w:p>
    <w:p w14:paraId="7D8C7103">
      <w:pPr>
        <w:pStyle w:val="10"/>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4、组织评审专家推选磋商小组组长，采购人代表不得担任磋商小组组长。</w:t>
      </w:r>
    </w:p>
    <w:p w14:paraId="62184C30">
      <w:pPr>
        <w:pStyle w:val="10"/>
        <w:spacing w:line="360" w:lineRule="auto"/>
        <w:ind w:firstLine="415"/>
        <w:rPr>
          <w:rFonts w:ascii="宋体" w:hAnsi="宋体" w:cs="宋体"/>
          <w:sz w:val="24"/>
          <w:szCs w:val="24"/>
          <w:highlight w:val="none"/>
        </w:rPr>
      </w:pPr>
      <w:r>
        <w:rPr>
          <w:rFonts w:hint="eastAsia" w:ascii="宋体" w:hAnsi="宋体" w:cs="宋体"/>
          <w:sz w:val="24"/>
          <w:szCs w:val="24"/>
          <w:highlight w:val="none"/>
        </w:rPr>
        <w:t>（五）、磋商及评审程序如下：</w:t>
      </w:r>
    </w:p>
    <w:p w14:paraId="5DF426EB">
      <w:pPr>
        <w:pStyle w:val="10"/>
        <w:tabs>
          <w:tab w:val="left" w:pos="0"/>
        </w:tabs>
        <w:autoSpaceDE w:val="0"/>
        <w:autoSpaceDN w:val="0"/>
        <w:adjustRightInd w:val="0"/>
        <w:spacing w:after="0" w:line="360" w:lineRule="auto"/>
        <w:ind w:firstLine="417"/>
        <w:jc w:val="center"/>
        <w:rPr>
          <w:rFonts w:ascii="宋体" w:hAnsi="宋体" w:cs="宋体"/>
          <w:b/>
          <w:bCs/>
          <w:sz w:val="24"/>
          <w:szCs w:val="24"/>
          <w:highlight w:val="none"/>
        </w:rPr>
      </w:pPr>
      <w:r>
        <w:rPr>
          <w:rFonts w:hint="eastAsia" w:ascii="宋体" w:hAnsi="宋体" w:cs="宋体"/>
          <w:b/>
          <w:bCs/>
          <w:sz w:val="24"/>
          <w:szCs w:val="24"/>
          <w:highlight w:val="none"/>
        </w:rPr>
        <w:t>初步评审标准</w:t>
      </w:r>
    </w:p>
    <w:tbl>
      <w:tblPr>
        <w:tblStyle w:val="27"/>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6"/>
        <w:gridCol w:w="6406"/>
      </w:tblGrid>
      <w:tr w14:paraId="22E4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7" w:type="dxa"/>
            <w:gridSpan w:val="3"/>
            <w:vAlign w:val="center"/>
          </w:tcPr>
          <w:p w14:paraId="1F5AA3EC">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一、资格性审查：</w:t>
            </w:r>
            <w:r>
              <w:rPr>
                <w:rFonts w:hint="eastAsia" w:asciiTheme="minorEastAsia" w:hAnsiTheme="minorEastAsia" w:eastAsiaTheme="minorEastAsia" w:cstheme="minorEastAsia"/>
                <w:b/>
                <w:bCs/>
                <w:color w:val="000000"/>
                <w:sz w:val="21"/>
                <w:szCs w:val="21"/>
                <w:highlight w:val="none"/>
                <w:lang w:val="zh-CN"/>
              </w:rPr>
              <w:t>有一项不合格不能进入下个环节。</w:t>
            </w:r>
          </w:p>
        </w:tc>
      </w:tr>
      <w:tr w14:paraId="5BB3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0DABF25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1276" w:type="dxa"/>
            <w:vAlign w:val="center"/>
          </w:tcPr>
          <w:p w14:paraId="30765F0F">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评审因素</w:t>
            </w:r>
          </w:p>
        </w:tc>
        <w:tc>
          <w:tcPr>
            <w:tcW w:w="6406" w:type="dxa"/>
            <w:vAlign w:val="center"/>
          </w:tcPr>
          <w:p w14:paraId="6C33AAA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评审标准</w:t>
            </w:r>
          </w:p>
        </w:tc>
      </w:tr>
      <w:tr w14:paraId="2A5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1B9EB932">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rPr>
            </w:pPr>
          </w:p>
        </w:tc>
        <w:tc>
          <w:tcPr>
            <w:tcW w:w="1276" w:type="dxa"/>
            <w:vAlign w:val="center"/>
          </w:tcPr>
          <w:p w14:paraId="4E4AEDB7">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标书雷同性分析</w:t>
            </w:r>
          </w:p>
        </w:tc>
        <w:tc>
          <w:tcPr>
            <w:tcW w:w="6406" w:type="dxa"/>
            <w:vAlign w:val="center"/>
          </w:tcPr>
          <w:p w14:paraId="17B42D3D">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投标（响应）文件制作机器码不能一致</w:t>
            </w:r>
          </w:p>
        </w:tc>
      </w:tr>
      <w:tr w14:paraId="468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79B4711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276" w:type="dxa"/>
            <w:vAlign w:val="center"/>
          </w:tcPr>
          <w:p w14:paraId="69FD01B6">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独立民</w:t>
            </w:r>
          </w:p>
          <w:p w14:paraId="765C86C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事责任</w:t>
            </w:r>
          </w:p>
        </w:tc>
        <w:tc>
          <w:tcPr>
            <w:tcW w:w="6406" w:type="dxa"/>
            <w:vAlign w:val="center"/>
          </w:tcPr>
          <w:p w14:paraId="2C714077">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法人或者其他组织的营业执照等证明文件、自然人的身份证明。</w:t>
            </w:r>
          </w:p>
        </w:tc>
      </w:tr>
      <w:tr w14:paraId="0EC8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4EE861E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276" w:type="dxa"/>
            <w:vAlign w:val="center"/>
          </w:tcPr>
          <w:p w14:paraId="3A7C2854">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良好商业信誉和健全财务会计制度</w:t>
            </w:r>
          </w:p>
        </w:tc>
        <w:tc>
          <w:tcPr>
            <w:tcW w:w="6406" w:type="dxa"/>
            <w:vAlign w:val="center"/>
          </w:tcPr>
          <w:p w14:paraId="7153D08A">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具有良好的商业信誉和健全的财务会计制度【提供202</w:t>
            </w: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年或202</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年度财务审计报告，成立年限不足一年的可提供基本账户开户银行出具的资信证明或承诺具有良好的商业信誉和健全的财务会计制度】</w:t>
            </w:r>
          </w:p>
          <w:p w14:paraId="2B1E2C32">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注：依据《财政部关于注册会计师在审计报告上签名盖章有关问题的通知》（财会【2001】1035号）规定，审计报告应当由两名具备相关业务资格的注册会计师签名盖章并经会计师事务所盖章方为有效。</w:t>
            </w:r>
          </w:p>
        </w:tc>
      </w:tr>
      <w:tr w14:paraId="5C9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1D8E3B1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276" w:type="dxa"/>
            <w:vAlign w:val="center"/>
          </w:tcPr>
          <w:p w14:paraId="340D5622">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履行合同必须设备和专业能力</w:t>
            </w:r>
          </w:p>
        </w:tc>
        <w:tc>
          <w:tcPr>
            <w:tcW w:w="6406" w:type="dxa"/>
            <w:vAlign w:val="center"/>
          </w:tcPr>
          <w:p w14:paraId="352A79F7">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b/>
                <w:bCs/>
                <w:color w:val="000000"/>
                <w:sz w:val="21"/>
                <w:szCs w:val="21"/>
                <w:highlight w:val="none"/>
              </w:rPr>
            </w:pPr>
            <w:r>
              <w:rPr>
                <w:rFonts w:hint="eastAsia" w:ascii="宋体" w:hAnsi="宋体" w:eastAsia="宋体" w:cs="宋体"/>
                <w:kern w:val="2"/>
                <w:sz w:val="21"/>
                <w:szCs w:val="21"/>
                <w:highlight w:val="none"/>
                <w:lang w:val="en-US" w:eastAsia="zh-CN" w:bidi="ar-SA"/>
              </w:rPr>
              <w:t>磋商承诺函内已包含</w:t>
            </w:r>
            <w:r>
              <w:rPr>
                <w:rFonts w:hint="eastAsia" w:ascii="宋体" w:hAnsi="宋体" w:cs="宋体"/>
                <w:kern w:val="2"/>
                <w:sz w:val="21"/>
                <w:szCs w:val="21"/>
                <w:highlight w:val="none"/>
                <w:lang w:val="en-US" w:eastAsia="zh-CN" w:bidi="ar-SA"/>
              </w:rPr>
              <w:t>此声明</w:t>
            </w:r>
            <w:r>
              <w:rPr>
                <w:rFonts w:hint="eastAsia" w:ascii="宋体" w:hAnsi="宋体" w:eastAsia="宋体" w:cs="宋体"/>
                <w:kern w:val="2"/>
                <w:sz w:val="21"/>
                <w:szCs w:val="21"/>
                <w:highlight w:val="none"/>
                <w:lang w:val="en-US" w:eastAsia="zh-CN" w:bidi="ar-SA"/>
              </w:rPr>
              <w:t>，响应文件中“磋商承诺函”格式及内容符合磋商文件要求</w:t>
            </w:r>
            <w:r>
              <w:rPr>
                <w:rFonts w:hint="eastAsia" w:asciiTheme="minorEastAsia" w:hAnsiTheme="minorEastAsia" w:eastAsiaTheme="minorEastAsia" w:cstheme="minorEastAsia"/>
                <w:kern w:val="2"/>
                <w:sz w:val="21"/>
                <w:szCs w:val="21"/>
                <w:highlight w:val="none"/>
                <w:lang w:val="en-US" w:eastAsia="zh-CN" w:bidi="ar-SA"/>
              </w:rPr>
              <w:t>，磋商小组在评审时即可视为本条资格性审查符合通过。</w:t>
            </w:r>
          </w:p>
        </w:tc>
      </w:tr>
      <w:tr w14:paraId="32A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5EC1A444">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276" w:type="dxa"/>
            <w:vAlign w:val="center"/>
          </w:tcPr>
          <w:p w14:paraId="24B2636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依法缴纳税收和社会保障资金</w:t>
            </w:r>
          </w:p>
        </w:tc>
        <w:tc>
          <w:tcPr>
            <w:tcW w:w="6406" w:type="dxa"/>
            <w:vAlign w:val="center"/>
          </w:tcPr>
          <w:p w14:paraId="05208803">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年0</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月份（含）以来任意一个月的纳税证明（完税凭证）和202</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年0</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月份（含）以来任意一个月的社保缴纳证明（完税凭证或社保局出具的社会保险缴纳清单）。</w:t>
            </w:r>
          </w:p>
          <w:p w14:paraId="2383138E">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注：依法免税或不需要缴纳社会保障资金的供应商，应提供相应文件证明其依法免税或不需要缴纳社会保障资金。</w:t>
            </w:r>
          </w:p>
        </w:tc>
      </w:tr>
      <w:tr w14:paraId="7BB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24103976">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w:t>
            </w:r>
          </w:p>
        </w:tc>
        <w:tc>
          <w:tcPr>
            <w:tcW w:w="1276" w:type="dxa"/>
            <w:vAlign w:val="center"/>
          </w:tcPr>
          <w:p w14:paraId="26E1A152">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近3年经营无重大违法记录</w:t>
            </w:r>
          </w:p>
        </w:tc>
        <w:tc>
          <w:tcPr>
            <w:tcW w:w="6406" w:type="dxa"/>
            <w:vAlign w:val="center"/>
          </w:tcPr>
          <w:p w14:paraId="6DCE279B">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宋体" w:hAnsi="宋体" w:eastAsia="宋体" w:cs="宋体"/>
                <w:kern w:val="2"/>
                <w:sz w:val="21"/>
                <w:szCs w:val="21"/>
                <w:highlight w:val="none"/>
                <w:lang w:val="en-US" w:eastAsia="zh-CN" w:bidi="ar-SA"/>
              </w:rPr>
              <w:t>磋商承诺函内已包含</w:t>
            </w:r>
            <w:r>
              <w:rPr>
                <w:rFonts w:hint="eastAsia" w:ascii="宋体" w:hAnsi="宋体" w:cs="宋体"/>
                <w:kern w:val="2"/>
                <w:sz w:val="21"/>
                <w:szCs w:val="21"/>
                <w:highlight w:val="none"/>
                <w:lang w:val="en-US" w:eastAsia="zh-CN" w:bidi="ar-SA"/>
              </w:rPr>
              <w:t>此声明</w:t>
            </w:r>
            <w:r>
              <w:rPr>
                <w:rFonts w:hint="eastAsia" w:ascii="宋体" w:hAnsi="宋体" w:eastAsia="宋体" w:cs="宋体"/>
                <w:kern w:val="2"/>
                <w:sz w:val="21"/>
                <w:szCs w:val="21"/>
                <w:highlight w:val="none"/>
                <w:lang w:val="en-US" w:eastAsia="zh-CN" w:bidi="ar-SA"/>
              </w:rPr>
              <w:t>，响应文件中“磋商承诺函”格式及内容符合磋商文件要求</w:t>
            </w:r>
            <w:r>
              <w:rPr>
                <w:rFonts w:hint="eastAsia" w:asciiTheme="minorEastAsia" w:hAnsiTheme="minorEastAsia" w:eastAsiaTheme="minorEastAsia" w:cstheme="minorEastAsia"/>
                <w:kern w:val="2"/>
                <w:sz w:val="21"/>
                <w:szCs w:val="21"/>
                <w:highlight w:val="none"/>
                <w:lang w:val="en-US" w:eastAsia="zh-CN" w:bidi="ar-SA"/>
              </w:rPr>
              <w:t>，磋商小组在评审时即可视为本条资格性审查符合通过。</w:t>
            </w:r>
          </w:p>
        </w:tc>
      </w:tr>
      <w:tr w14:paraId="26BF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229C7149">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w:t>
            </w:r>
          </w:p>
        </w:tc>
        <w:tc>
          <w:tcPr>
            <w:tcW w:w="1276" w:type="dxa"/>
            <w:vAlign w:val="center"/>
          </w:tcPr>
          <w:p w14:paraId="7E172A32">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食品经营许可证</w:t>
            </w:r>
          </w:p>
        </w:tc>
        <w:tc>
          <w:tcPr>
            <w:tcW w:w="6406" w:type="dxa"/>
            <w:vAlign w:val="center"/>
          </w:tcPr>
          <w:p w14:paraId="707303B9">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具有市场监督管理部门颁发的《食品经营许可证》</w:t>
            </w:r>
          </w:p>
        </w:tc>
      </w:tr>
      <w:tr w14:paraId="5B34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3CE38B08">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1276" w:type="dxa"/>
            <w:vAlign w:val="center"/>
          </w:tcPr>
          <w:p w14:paraId="79B1D641">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查询信</w:t>
            </w:r>
          </w:p>
          <w:p w14:paraId="10E6011D">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用结果</w:t>
            </w:r>
          </w:p>
        </w:tc>
        <w:tc>
          <w:tcPr>
            <w:tcW w:w="6406" w:type="dxa"/>
            <w:vAlign w:val="center"/>
          </w:tcPr>
          <w:p w14:paraId="6840DC1E">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采购人或代理机构在开标后查询供应商信用记录。查询时将对查询结果网页PDF文件证据留存。</w:t>
            </w:r>
          </w:p>
          <w:p w14:paraId="3ED4950A">
            <w:pPr>
              <w:keepNext w:val="0"/>
              <w:keepLines w:val="0"/>
              <w:pageBreakBefore w:val="0"/>
              <w:widowControl w:val="0"/>
              <w:numPr>
                <w:ilvl w:val="0"/>
                <w:numId w:val="3"/>
              </w:numPr>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信用中国－信用服务－“失信被执行人”</w:t>
            </w:r>
          </w:p>
          <w:p w14:paraId="7E3A21C4">
            <w:pPr>
              <w:keepNext w:val="0"/>
              <w:keepLines w:val="0"/>
              <w:pageBreakBefore w:val="0"/>
              <w:widowControl w:val="0"/>
              <w:numPr>
                <w:ilvl w:val="0"/>
                <w:numId w:val="3"/>
              </w:numPr>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信用中国－信用服务－“重大税收违法失信主体”</w:t>
            </w:r>
          </w:p>
          <w:p w14:paraId="1E912A44">
            <w:pPr>
              <w:keepNext w:val="0"/>
              <w:keepLines w:val="0"/>
              <w:pageBreakBefore w:val="0"/>
              <w:widowControl w:val="0"/>
              <w:numPr>
                <w:ilvl w:val="0"/>
                <w:numId w:val="3"/>
              </w:numPr>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中国政府采购网－“政府采购严重违法失信行为记录名单”。</w:t>
            </w:r>
          </w:p>
          <w:p w14:paraId="7D5E65DD">
            <w:pPr>
              <w:keepNext w:val="0"/>
              <w:keepLines w:val="0"/>
              <w:pageBreakBefore w:val="0"/>
              <w:widowControl w:val="0"/>
              <w:kinsoku/>
              <w:wordWrap/>
              <w:overflowPunct/>
              <w:topLinePunct w:val="0"/>
              <w:bidi w:val="0"/>
              <w:spacing w:line="440" w:lineRule="exact"/>
              <w:ind w:firstLine="422" w:firstLineChars="200"/>
              <w:jc w:val="left"/>
              <w:textAlignment w:val="auto"/>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注：</w:t>
            </w:r>
          </w:p>
          <w:p w14:paraId="12A2A446">
            <w:pPr>
              <w:keepNext w:val="0"/>
              <w:keepLines w:val="0"/>
              <w:pageBreakBefore w:val="0"/>
              <w:widowControl w:val="0"/>
              <w:numPr>
                <w:ilvl w:val="0"/>
                <w:numId w:val="4"/>
              </w:numPr>
              <w:kinsoku/>
              <w:wordWrap/>
              <w:overflowPunct/>
              <w:topLinePunct w:val="0"/>
              <w:bidi w:val="0"/>
              <w:spacing w:line="440" w:lineRule="exact"/>
              <w:jc w:val="left"/>
              <w:textAlignment w:val="auto"/>
              <w:rPr>
                <w:rFonts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投标供应商本项仍需提供查询记录。</w:t>
            </w:r>
          </w:p>
          <w:p w14:paraId="7394B6DA">
            <w:pPr>
              <w:keepNext w:val="0"/>
              <w:keepLines w:val="0"/>
              <w:pageBreakBefore w:val="0"/>
              <w:widowControl w:val="0"/>
              <w:numPr>
                <w:ilvl w:val="0"/>
                <w:numId w:val="4"/>
              </w:numPr>
              <w:kinsoku/>
              <w:wordWrap/>
              <w:overflowPunct/>
              <w:topLinePunct w:val="0"/>
              <w:bidi w:val="0"/>
              <w:spacing w:line="440" w:lineRule="exact"/>
              <w:jc w:val="left"/>
              <w:textAlignment w:val="auto"/>
              <w:rPr>
                <w:rFonts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若经采购人或代理机构查询，投标供应商存在不良信用记录的，其响应文件将被作为无效处理，采购人或代理机构将上报监督管理部门以“提供虚假材料谋取中标、成交”从严从重进行处理。</w:t>
            </w:r>
          </w:p>
          <w:p w14:paraId="65E18813">
            <w:pPr>
              <w:keepNext w:val="0"/>
              <w:keepLines w:val="0"/>
              <w:pageBreakBefore w:val="0"/>
              <w:widowControl w:val="0"/>
              <w:numPr>
                <w:ilvl w:val="0"/>
                <w:numId w:val="4"/>
              </w:numPr>
              <w:kinsoku/>
              <w:wordWrap/>
              <w:overflowPunct/>
              <w:topLinePunct w:val="0"/>
              <w:bidi w:val="0"/>
              <w:spacing w:line="440" w:lineRule="exact"/>
              <w:jc w:val="left"/>
              <w:textAlignment w:val="auto"/>
              <w:rPr>
                <w:rFonts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采购人或代理机构查询之后，网站信息发生的任何变更均不再作为评审依据。</w:t>
            </w:r>
          </w:p>
          <w:p w14:paraId="057368E6">
            <w:pPr>
              <w:keepNext w:val="0"/>
              <w:keepLines w:val="0"/>
              <w:pageBreakBefore w:val="0"/>
              <w:widowControl w:val="0"/>
              <w:numPr>
                <w:ilvl w:val="0"/>
                <w:numId w:val="4"/>
              </w:numPr>
              <w:kinsoku/>
              <w:wordWrap/>
              <w:overflowPunct/>
              <w:topLinePunct w:val="0"/>
              <w:bidi w:val="0"/>
              <w:spacing w:line="440" w:lineRule="exact"/>
              <w:jc w:val="left"/>
              <w:textAlignment w:val="auto"/>
              <w:rPr>
                <w:rFonts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若查询网站改版，按改版后的网站模块进行查询。信用中国：www.creditchina.gov.cn；中国政府采购网：www.ccgp.gov.cn。</w:t>
            </w:r>
          </w:p>
        </w:tc>
      </w:tr>
      <w:tr w14:paraId="3D11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02378221">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8</w:t>
            </w:r>
          </w:p>
        </w:tc>
        <w:tc>
          <w:tcPr>
            <w:tcW w:w="1276" w:type="dxa"/>
            <w:vAlign w:val="center"/>
          </w:tcPr>
          <w:p w14:paraId="60FBCBBC">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行政或</w:t>
            </w:r>
          </w:p>
          <w:p w14:paraId="0F5B947F">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经济关联</w:t>
            </w:r>
          </w:p>
        </w:tc>
        <w:tc>
          <w:tcPr>
            <w:tcW w:w="6406" w:type="dxa"/>
            <w:vAlign w:val="center"/>
          </w:tcPr>
          <w:p w14:paraId="5AA47305">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lang w:eastAsia="zh-CN"/>
              </w:rPr>
              <w:t>磋商承诺函</w:t>
            </w:r>
            <w:r>
              <w:rPr>
                <w:rFonts w:hint="eastAsia" w:asciiTheme="minorEastAsia" w:hAnsiTheme="minorEastAsia" w:eastAsiaTheme="minorEastAsia" w:cstheme="minorEastAsia"/>
                <w:sz w:val="21"/>
                <w:szCs w:val="21"/>
                <w:highlight w:val="none"/>
              </w:rPr>
              <w:t>内已包含此</w:t>
            </w:r>
            <w:r>
              <w:rPr>
                <w:rFonts w:hint="eastAsia" w:asciiTheme="minorEastAsia" w:hAnsiTheme="minorEastAsia" w:eastAsiaTheme="minorEastAsia" w:cstheme="minorEastAsia"/>
                <w:sz w:val="21"/>
                <w:szCs w:val="21"/>
                <w:highlight w:val="none"/>
                <w:lang w:val="en-US" w:eastAsia="zh-CN"/>
              </w:rPr>
              <w:t>声明</w:t>
            </w:r>
            <w:r>
              <w:rPr>
                <w:rFonts w:hint="eastAsia" w:asciiTheme="minorEastAsia" w:hAnsiTheme="minorEastAsia" w:eastAsiaTheme="minorEastAsia" w:cstheme="minorEastAsia"/>
                <w:sz w:val="21"/>
                <w:szCs w:val="21"/>
                <w:highlight w:val="none"/>
              </w:rPr>
              <w:t>，响应文件中“</w:t>
            </w:r>
            <w:r>
              <w:rPr>
                <w:rFonts w:hint="eastAsia" w:asciiTheme="minorEastAsia" w:hAnsiTheme="minorEastAsia" w:eastAsiaTheme="minorEastAsia" w:cstheme="minorEastAsia"/>
                <w:sz w:val="21"/>
                <w:szCs w:val="21"/>
                <w:highlight w:val="none"/>
                <w:lang w:eastAsia="zh-CN"/>
              </w:rPr>
              <w:t>磋商承诺函</w:t>
            </w:r>
            <w:r>
              <w:rPr>
                <w:rFonts w:hint="eastAsia" w:asciiTheme="minorEastAsia" w:hAnsiTheme="minorEastAsia" w:eastAsiaTheme="minorEastAsia" w:cstheme="minorEastAsia"/>
                <w:sz w:val="21"/>
                <w:szCs w:val="21"/>
                <w:highlight w:val="none"/>
              </w:rPr>
              <w:t>”格式及内容符合磋商文件要求，磋商小组在评审时即可视为本条资格性审查符合通过。</w:t>
            </w:r>
          </w:p>
        </w:tc>
      </w:tr>
      <w:tr w14:paraId="18CF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4FDB3842">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9</w:t>
            </w:r>
          </w:p>
        </w:tc>
        <w:tc>
          <w:tcPr>
            <w:tcW w:w="1276" w:type="dxa"/>
            <w:vAlign w:val="center"/>
          </w:tcPr>
          <w:p w14:paraId="3DB27119">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直接控股与管理关系</w:t>
            </w:r>
          </w:p>
        </w:tc>
        <w:tc>
          <w:tcPr>
            <w:tcW w:w="6406" w:type="dxa"/>
            <w:vAlign w:val="center"/>
          </w:tcPr>
          <w:p w14:paraId="2004998F">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lang w:eastAsia="zh-CN"/>
              </w:rPr>
              <w:t>磋商承诺函</w:t>
            </w:r>
            <w:r>
              <w:rPr>
                <w:rFonts w:hint="eastAsia" w:asciiTheme="minorEastAsia" w:hAnsiTheme="minorEastAsia" w:eastAsiaTheme="minorEastAsia" w:cstheme="minorEastAsia"/>
                <w:sz w:val="21"/>
                <w:szCs w:val="21"/>
                <w:highlight w:val="none"/>
              </w:rPr>
              <w:t>内已包含此</w:t>
            </w:r>
            <w:r>
              <w:rPr>
                <w:rFonts w:hint="eastAsia" w:asciiTheme="minorEastAsia" w:hAnsiTheme="minorEastAsia" w:eastAsiaTheme="minorEastAsia" w:cstheme="minorEastAsia"/>
                <w:sz w:val="21"/>
                <w:szCs w:val="21"/>
                <w:highlight w:val="none"/>
                <w:lang w:val="en-US" w:eastAsia="zh-CN"/>
              </w:rPr>
              <w:t>声明</w:t>
            </w:r>
            <w:r>
              <w:rPr>
                <w:rFonts w:hint="eastAsia" w:asciiTheme="minorEastAsia" w:hAnsiTheme="minorEastAsia" w:eastAsiaTheme="minorEastAsia" w:cstheme="minorEastAsia"/>
                <w:sz w:val="21"/>
                <w:szCs w:val="21"/>
                <w:highlight w:val="none"/>
              </w:rPr>
              <w:t>，响应文件中“</w:t>
            </w:r>
            <w:r>
              <w:rPr>
                <w:rFonts w:hint="eastAsia" w:asciiTheme="minorEastAsia" w:hAnsiTheme="minorEastAsia" w:eastAsiaTheme="minorEastAsia" w:cstheme="minorEastAsia"/>
                <w:sz w:val="21"/>
                <w:szCs w:val="21"/>
                <w:highlight w:val="none"/>
                <w:lang w:eastAsia="zh-CN"/>
              </w:rPr>
              <w:t>磋商承诺函</w:t>
            </w:r>
            <w:r>
              <w:rPr>
                <w:rFonts w:hint="eastAsia" w:asciiTheme="minorEastAsia" w:hAnsiTheme="minorEastAsia" w:eastAsiaTheme="minorEastAsia" w:cstheme="minorEastAsia"/>
                <w:sz w:val="21"/>
                <w:szCs w:val="21"/>
                <w:highlight w:val="none"/>
              </w:rPr>
              <w:t>”格式及内容符合磋商文件要求，磋商小组在评审时即可视为本条资格性审查符合通过。</w:t>
            </w:r>
          </w:p>
        </w:tc>
      </w:tr>
      <w:tr w14:paraId="78C5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2F1590A6">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10</w:t>
            </w:r>
          </w:p>
        </w:tc>
        <w:tc>
          <w:tcPr>
            <w:tcW w:w="1276" w:type="dxa"/>
            <w:vAlign w:val="center"/>
          </w:tcPr>
          <w:p w14:paraId="0B7F4D6E">
            <w:pPr>
              <w:keepNext w:val="0"/>
              <w:keepLines w:val="0"/>
              <w:pageBreakBefore w:val="0"/>
              <w:widowControl w:val="0"/>
              <w:kinsoku/>
              <w:wordWrap/>
              <w:overflowPunct/>
              <w:topLinePunct w:val="0"/>
              <w:bidi w:val="0"/>
              <w:spacing w:line="440" w:lineRule="exact"/>
              <w:jc w:val="left"/>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中小微企业</w:t>
            </w:r>
          </w:p>
        </w:tc>
        <w:tc>
          <w:tcPr>
            <w:tcW w:w="6406" w:type="dxa"/>
            <w:vAlign w:val="center"/>
          </w:tcPr>
          <w:p w14:paraId="1A166C44">
            <w:pPr>
              <w:keepNext w:val="0"/>
              <w:keepLines w:val="0"/>
              <w:pageBreakBefore w:val="0"/>
              <w:widowControl w:val="0"/>
              <w:kinsoku/>
              <w:wordWrap/>
              <w:overflowPunct/>
              <w:topLinePunct w:val="0"/>
              <w:bidi w:val="0"/>
              <w:spacing w:line="440" w:lineRule="exact"/>
              <w:jc w:val="left"/>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本项目</w:t>
            </w:r>
            <w:r>
              <w:rPr>
                <w:rFonts w:hint="eastAsia" w:asciiTheme="minorEastAsia" w:hAnsiTheme="minorEastAsia" w:eastAsiaTheme="minorEastAsia" w:cstheme="minorEastAsia"/>
                <w:sz w:val="21"/>
                <w:szCs w:val="21"/>
                <w:highlight w:val="none"/>
              </w:rPr>
              <w:t>专门面向中小企业</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供应商必须填写声明函，并符合磋商文件要求。</w:t>
            </w:r>
          </w:p>
        </w:tc>
      </w:tr>
      <w:tr w14:paraId="12D6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7" w:type="dxa"/>
            <w:gridSpan w:val="3"/>
            <w:vAlign w:val="center"/>
          </w:tcPr>
          <w:p w14:paraId="7D40F55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sz w:val="21"/>
                <w:szCs w:val="21"/>
                <w:highlight w:val="none"/>
              </w:rPr>
              <w:t>二、符合性审查（实质性响应条款）：</w:t>
            </w:r>
            <w:r>
              <w:rPr>
                <w:rFonts w:hint="eastAsia" w:asciiTheme="minorEastAsia" w:hAnsiTheme="minorEastAsia" w:eastAsiaTheme="minorEastAsia" w:cstheme="minorEastAsia"/>
                <w:b/>
                <w:bCs/>
                <w:color w:val="000000"/>
                <w:sz w:val="21"/>
                <w:szCs w:val="21"/>
                <w:highlight w:val="none"/>
                <w:lang w:val="zh-CN"/>
              </w:rPr>
              <w:t>有一项不合格不能进入下个环节。</w:t>
            </w:r>
          </w:p>
        </w:tc>
      </w:tr>
      <w:tr w14:paraId="1EED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294524B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1276" w:type="dxa"/>
            <w:vAlign w:val="center"/>
          </w:tcPr>
          <w:p w14:paraId="0FB1F13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评审因素</w:t>
            </w:r>
          </w:p>
        </w:tc>
        <w:tc>
          <w:tcPr>
            <w:tcW w:w="6406" w:type="dxa"/>
            <w:vAlign w:val="center"/>
          </w:tcPr>
          <w:p w14:paraId="6B145325">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评审标准</w:t>
            </w:r>
          </w:p>
        </w:tc>
      </w:tr>
      <w:tr w14:paraId="348A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54D47A27">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276" w:type="dxa"/>
            <w:vAlign w:val="center"/>
          </w:tcPr>
          <w:p w14:paraId="55E89E86">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采购内容</w:t>
            </w:r>
          </w:p>
        </w:tc>
        <w:tc>
          <w:tcPr>
            <w:tcW w:w="6406" w:type="dxa"/>
            <w:vAlign w:val="center"/>
          </w:tcPr>
          <w:p w14:paraId="7EA1F142">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w:t>
            </w:r>
            <w:r>
              <w:rPr>
                <w:rFonts w:hint="eastAsia" w:asciiTheme="minorEastAsia" w:hAnsiTheme="minorEastAsia" w:eastAsiaTheme="minorEastAsia" w:cstheme="minorEastAsia"/>
                <w:color w:val="000000"/>
                <w:sz w:val="21"/>
                <w:szCs w:val="21"/>
                <w:highlight w:val="none"/>
              </w:rPr>
              <w:t>文件的内容</w:t>
            </w:r>
            <w:r>
              <w:rPr>
                <w:rFonts w:hint="eastAsia" w:asciiTheme="minorEastAsia" w:hAnsiTheme="minorEastAsia" w:eastAsiaTheme="minorEastAsia" w:cstheme="minorEastAsia"/>
                <w:color w:val="000000"/>
                <w:sz w:val="21"/>
                <w:szCs w:val="21"/>
                <w:highlight w:val="none"/>
                <w:lang w:eastAsia="zh-CN"/>
              </w:rPr>
              <w:t>，应满足磋商公告“采购内容”条款要求</w:t>
            </w:r>
            <w:r>
              <w:rPr>
                <w:rFonts w:hint="eastAsia" w:asciiTheme="minorEastAsia" w:hAnsiTheme="minorEastAsia" w:eastAsiaTheme="minorEastAsia" w:cstheme="minorEastAsia"/>
                <w:color w:val="000000"/>
                <w:sz w:val="21"/>
                <w:szCs w:val="21"/>
                <w:highlight w:val="none"/>
              </w:rPr>
              <w:t>。</w:t>
            </w:r>
          </w:p>
        </w:tc>
      </w:tr>
      <w:tr w14:paraId="5C17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7BBCAC5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276" w:type="dxa"/>
            <w:vAlign w:val="center"/>
          </w:tcPr>
          <w:p w14:paraId="4E592363">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服务质量</w:t>
            </w:r>
          </w:p>
        </w:tc>
        <w:tc>
          <w:tcPr>
            <w:tcW w:w="6406" w:type="dxa"/>
            <w:vAlign w:val="center"/>
          </w:tcPr>
          <w:p w14:paraId="4EE0F9D2">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磋商文件的</w:t>
            </w:r>
            <w:r>
              <w:rPr>
                <w:rFonts w:hint="eastAsia" w:asciiTheme="minorEastAsia" w:hAnsiTheme="minorEastAsia" w:eastAsiaTheme="minorEastAsia" w:cstheme="minorEastAsia"/>
                <w:color w:val="000000"/>
                <w:sz w:val="21"/>
                <w:szCs w:val="21"/>
                <w:highlight w:val="none"/>
              </w:rPr>
              <w:t>内容，应满足或优于磋商公告“</w:t>
            </w:r>
            <w:r>
              <w:rPr>
                <w:rFonts w:hint="eastAsia" w:asciiTheme="minorEastAsia" w:hAnsiTheme="minorEastAsia" w:eastAsiaTheme="minorEastAsia" w:cstheme="minorEastAsia"/>
                <w:color w:val="000000"/>
                <w:sz w:val="21"/>
                <w:szCs w:val="21"/>
                <w:highlight w:val="none"/>
                <w:lang w:eastAsia="zh-CN"/>
              </w:rPr>
              <w:t>服务质量</w:t>
            </w:r>
            <w:r>
              <w:rPr>
                <w:rFonts w:hint="eastAsia" w:asciiTheme="minorEastAsia" w:hAnsiTheme="minorEastAsia" w:eastAsiaTheme="minorEastAsia" w:cstheme="minorEastAsia"/>
                <w:color w:val="000000"/>
                <w:sz w:val="21"/>
                <w:szCs w:val="21"/>
                <w:highlight w:val="none"/>
              </w:rPr>
              <w:t>”条款要求。</w:t>
            </w:r>
          </w:p>
        </w:tc>
      </w:tr>
      <w:tr w14:paraId="45A2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4116738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276" w:type="dxa"/>
            <w:vAlign w:val="center"/>
          </w:tcPr>
          <w:p w14:paraId="66785E6D">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服务期限</w:t>
            </w:r>
          </w:p>
        </w:tc>
        <w:tc>
          <w:tcPr>
            <w:tcW w:w="6406" w:type="dxa"/>
            <w:vAlign w:val="center"/>
          </w:tcPr>
          <w:p w14:paraId="1C8B156A">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磋商文件的</w:t>
            </w:r>
            <w:r>
              <w:rPr>
                <w:rFonts w:hint="eastAsia" w:asciiTheme="minorEastAsia" w:hAnsiTheme="minorEastAsia" w:eastAsiaTheme="minorEastAsia" w:cstheme="minorEastAsia"/>
                <w:color w:val="000000"/>
                <w:sz w:val="21"/>
                <w:szCs w:val="21"/>
                <w:highlight w:val="none"/>
              </w:rPr>
              <w:t>内容，应满足或优于磋商公告“</w:t>
            </w:r>
            <w:r>
              <w:rPr>
                <w:rFonts w:hint="eastAsia" w:asciiTheme="minorEastAsia" w:hAnsiTheme="minorEastAsia" w:eastAsiaTheme="minorEastAsia" w:cstheme="minorEastAsia"/>
                <w:color w:val="000000"/>
                <w:sz w:val="21"/>
                <w:szCs w:val="21"/>
                <w:highlight w:val="none"/>
                <w:lang w:val="en-US" w:eastAsia="zh-CN"/>
              </w:rPr>
              <w:t>服务期限</w:t>
            </w:r>
            <w:r>
              <w:rPr>
                <w:rFonts w:hint="eastAsia" w:asciiTheme="minorEastAsia" w:hAnsiTheme="minorEastAsia" w:eastAsiaTheme="minorEastAsia" w:cstheme="minorEastAsia"/>
                <w:color w:val="000000"/>
                <w:sz w:val="21"/>
                <w:szCs w:val="21"/>
                <w:highlight w:val="none"/>
              </w:rPr>
              <w:t>”条款要求。</w:t>
            </w:r>
          </w:p>
        </w:tc>
      </w:tr>
      <w:tr w14:paraId="3DD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3B3033CF">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1276" w:type="dxa"/>
            <w:vAlign w:val="center"/>
          </w:tcPr>
          <w:p w14:paraId="1B74AA2D">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磋商</w:t>
            </w:r>
            <w:r>
              <w:rPr>
                <w:rFonts w:hint="eastAsia" w:asciiTheme="minorEastAsia" w:hAnsiTheme="minorEastAsia" w:eastAsiaTheme="minorEastAsia" w:cstheme="minorEastAsia"/>
                <w:color w:val="000000"/>
                <w:sz w:val="21"/>
                <w:szCs w:val="21"/>
                <w:highlight w:val="none"/>
              </w:rPr>
              <w:t>有效期</w:t>
            </w:r>
          </w:p>
        </w:tc>
        <w:tc>
          <w:tcPr>
            <w:tcW w:w="6406" w:type="dxa"/>
            <w:vAlign w:val="center"/>
          </w:tcPr>
          <w:p w14:paraId="64EF7533">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磋商文件的</w:t>
            </w:r>
            <w:r>
              <w:rPr>
                <w:rFonts w:hint="eastAsia" w:asciiTheme="minorEastAsia" w:hAnsiTheme="minorEastAsia" w:eastAsiaTheme="minorEastAsia" w:cstheme="minorEastAsia"/>
                <w:color w:val="000000"/>
                <w:sz w:val="21"/>
                <w:szCs w:val="21"/>
                <w:highlight w:val="none"/>
              </w:rPr>
              <w:t>内容，应符合供应商须知前附表“</w:t>
            </w:r>
            <w:r>
              <w:rPr>
                <w:rFonts w:hint="eastAsia" w:asciiTheme="minorEastAsia" w:hAnsiTheme="minorEastAsia" w:eastAsiaTheme="minorEastAsia" w:cstheme="minorEastAsia"/>
                <w:color w:val="000000"/>
                <w:sz w:val="21"/>
                <w:szCs w:val="21"/>
                <w:highlight w:val="none"/>
                <w:lang w:eastAsia="zh-CN"/>
              </w:rPr>
              <w:t>磋商</w:t>
            </w:r>
            <w:r>
              <w:rPr>
                <w:rFonts w:hint="eastAsia" w:asciiTheme="minorEastAsia" w:hAnsiTheme="minorEastAsia" w:eastAsiaTheme="minorEastAsia" w:cstheme="minorEastAsia"/>
                <w:color w:val="000000"/>
                <w:sz w:val="21"/>
                <w:szCs w:val="21"/>
                <w:highlight w:val="none"/>
              </w:rPr>
              <w:t>有效期”条款要求。</w:t>
            </w:r>
          </w:p>
        </w:tc>
      </w:tr>
      <w:tr w14:paraId="7846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26DC383A">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5</w:t>
            </w:r>
          </w:p>
        </w:tc>
        <w:tc>
          <w:tcPr>
            <w:tcW w:w="1276" w:type="dxa"/>
            <w:vAlign w:val="center"/>
          </w:tcPr>
          <w:p w14:paraId="7DA44BB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付款方式</w:t>
            </w:r>
          </w:p>
        </w:tc>
        <w:tc>
          <w:tcPr>
            <w:tcW w:w="6406" w:type="dxa"/>
            <w:vAlign w:val="center"/>
          </w:tcPr>
          <w:p w14:paraId="0FAC342F">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磋商文件的</w:t>
            </w:r>
            <w:r>
              <w:rPr>
                <w:rFonts w:hint="eastAsia" w:asciiTheme="minorEastAsia" w:hAnsiTheme="minorEastAsia" w:eastAsiaTheme="minorEastAsia" w:cstheme="minorEastAsia"/>
                <w:color w:val="000000"/>
                <w:sz w:val="21"/>
                <w:szCs w:val="21"/>
                <w:highlight w:val="none"/>
              </w:rPr>
              <w:t>内容，应符合或优于供应商须知前附表“付款方式”条款要求。</w:t>
            </w:r>
          </w:p>
        </w:tc>
      </w:tr>
      <w:tr w14:paraId="2618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72005E96">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6</w:t>
            </w:r>
          </w:p>
        </w:tc>
        <w:tc>
          <w:tcPr>
            <w:tcW w:w="1276" w:type="dxa"/>
            <w:vAlign w:val="center"/>
          </w:tcPr>
          <w:p w14:paraId="42C25F49">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履约保证金</w:t>
            </w:r>
          </w:p>
        </w:tc>
        <w:tc>
          <w:tcPr>
            <w:tcW w:w="6406" w:type="dxa"/>
            <w:vAlign w:val="center"/>
          </w:tcPr>
          <w:p w14:paraId="3BE0F3D7">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val="en-US" w:eastAsia="zh-CN"/>
              </w:rPr>
              <w:t>磋商文件的</w:t>
            </w:r>
            <w:r>
              <w:rPr>
                <w:rFonts w:hint="eastAsia" w:asciiTheme="minorEastAsia" w:hAnsiTheme="minorEastAsia" w:eastAsiaTheme="minorEastAsia" w:cstheme="minorEastAsia"/>
                <w:color w:val="000000"/>
                <w:sz w:val="21"/>
                <w:szCs w:val="21"/>
                <w:highlight w:val="none"/>
              </w:rPr>
              <w:t>内容，应符合或优于供应商须知前附表“履约保证金”条款要求。</w:t>
            </w:r>
          </w:p>
        </w:tc>
      </w:tr>
      <w:tr w14:paraId="4C25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5" w:type="dxa"/>
            <w:vAlign w:val="center"/>
          </w:tcPr>
          <w:p w14:paraId="6A444A68">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1276" w:type="dxa"/>
            <w:vAlign w:val="center"/>
          </w:tcPr>
          <w:p w14:paraId="2E4B13D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其他</w:t>
            </w:r>
          </w:p>
        </w:tc>
        <w:tc>
          <w:tcPr>
            <w:tcW w:w="6406" w:type="dxa"/>
            <w:vAlign w:val="center"/>
          </w:tcPr>
          <w:p w14:paraId="21A169AA">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不存在磋商文件及法律法规规定的投标供应商串通投标情形</w:t>
            </w:r>
            <w:r>
              <w:rPr>
                <w:rFonts w:hint="eastAsia" w:asciiTheme="minorEastAsia" w:hAnsiTheme="minorEastAsia" w:eastAsiaTheme="minorEastAsia" w:cstheme="minorEastAsia"/>
                <w:color w:val="000000"/>
                <w:sz w:val="21"/>
                <w:szCs w:val="21"/>
                <w:highlight w:val="none"/>
                <w:lang w:eastAsia="zh-CN"/>
              </w:rPr>
              <w:t>等</w:t>
            </w:r>
            <w:r>
              <w:rPr>
                <w:rFonts w:hint="eastAsia" w:asciiTheme="minorEastAsia" w:hAnsiTheme="minorEastAsia" w:eastAsiaTheme="minorEastAsia" w:cstheme="minorEastAsia"/>
                <w:color w:val="000000"/>
                <w:sz w:val="21"/>
                <w:szCs w:val="21"/>
                <w:highlight w:val="none"/>
              </w:rPr>
              <w:t>投标无效情形。</w:t>
            </w:r>
          </w:p>
          <w:p w14:paraId="14379977">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注：</w:t>
            </w:r>
            <w:r>
              <w:rPr>
                <w:rFonts w:hint="eastAsia" w:asciiTheme="minorEastAsia" w:hAnsiTheme="minorEastAsia" w:eastAsiaTheme="minorEastAsia" w:cstheme="minorEastAsia"/>
                <w:b/>
                <w:bCs/>
                <w:color w:val="000000"/>
                <w:sz w:val="21"/>
                <w:szCs w:val="21"/>
                <w:highlight w:val="none"/>
                <w:lang w:val="en-US" w:eastAsia="zh-CN"/>
              </w:rPr>
              <w:t>磋商承诺函</w:t>
            </w:r>
            <w:r>
              <w:rPr>
                <w:rFonts w:hint="eastAsia" w:asciiTheme="minorEastAsia" w:hAnsiTheme="minorEastAsia" w:eastAsiaTheme="minorEastAsia" w:cstheme="minorEastAsia"/>
                <w:b/>
                <w:bCs/>
                <w:sz w:val="21"/>
                <w:szCs w:val="21"/>
                <w:highlight w:val="none"/>
              </w:rPr>
              <w:t>内已包含此承诺，供应商只需按照磋商文件</w:t>
            </w:r>
            <w:r>
              <w:rPr>
                <w:rFonts w:hint="eastAsia" w:asciiTheme="minorEastAsia" w:hAnsiTheme="minorEastAsia" w:eastAsiaTheme="minorEastAsia" w:cstheme="minorEastAsia"/>
                <w:b/>
                <w:bCs/>
                <w:color w:val="000000"/>
                <w:sz w:val="21"/>
                <w:szCs w:val="21"/>
                <w:highlight w:val="none"/>
                <w:lang w:val="en-US" w:eastAsia="zh-CN"/>
              </w:rPr>
              <w:t>磋商承诺函</w:t>
            </w:r>
            <w:r>
              <w:rPr>
                <w:rFonts w:hint="eastAsia" w:asciiTheme="minorEastAsia" w:hAnsiTheme="minorEastAsia" w:eastAsiaTheme="minorEastAsia" w:cstheme="minorEastAsia"/>
                <w:b/>
                <w:bCs/>
                <w:sz w:val="21"/>
                <w:szCs w:val="21"/>
                <w:highlight w:val="none"/>
              </w:rPr>
              <w:t>格式填写，磋商小组在评审时即可视为此项合格。（特殊说明：磋商小组如在评审过程中发现供应商存在磋商文件及法律法规规定的投标供应商串通投标情形</w:t>
            </w:r>
            <w:r>
              <w:rPr>
                <w:rFonts w:hint="eastAsia" w:asciiTheme="minorEastAsia" w:hAnsiTheme="minorEastAsia" w:eastAsiaTheme="minorEastAsia" w:cstheme="minorEastAsia"/>
                <w:b/>
                <w:bCs/>
                <w:sz w:val="21"/>
                <w:szCs w:val="21"/>
                <w:highlight w:val="none"/>
                <w:lang w:eastAsia="zh-CN"/>
              </w:rPr>
              <w:t>等</w:t>
            </w:r>
            <w:r>
              <w:rPr>
                <w:rFonts w:hint="eastAsia" w:asciiTheme="minorEastAsia" w:hAnsiTheme="minorEastAsia" w:eastAsiaTheme="minorEastAsia" w:cstheme="minorEastAsia"/>
                <w:b/>
                <w:bCs/>
                <w:sz w:val="21"/>
                <w:szCs w:val="21"/>
                <w:highlight w:val="none"/>
              </w:rPr>
              <w:t>投标无效情形，供应商承诺即视为无效）</w:t>
            </w:r>
          </w:p>
        </w:tc>
      </w:tr>
    </w:tbl>
    <w:p w14:paraId="359B358E">
      <w:pPr>
        <w:rPr>
          <w:rFonts w:ascii="宋体" w:hAnsi="宋体" w:cs="宋体"/>
          <w:b/>
          <w:highlight w:val="none"/>
        </w:rPr>
      </w:pPr>
    </w:p>
    <w:p w14:paraId="0427FFA8">
      <w:pPr>
        <w:rPr>
          <w:rFonts w:ascii="宋体" w:hAnsi="宋体" w:cs="宋体"/>
          <w:b/>
          <w:highlight w:val="none"/>
        </w:rPr>
      </w:pPr>
    </w:p>
    <w:p w14:paraId="1ABA5B86">
      <w:pPr>
        <w:rPr>
          <w:rFonts w:ascii="宋体" w:hAnsi="宋体" w:cs="宋体"/>
          <w:b/>
          <w:highlight w:val="none"/>
        </w:rPr>
      </w:pPr>
    </w:p>
    <w:p w14:paraId="5DB6762F">
      <w:pPr>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 w:val="21"/>
          <w:szCs w:val="21"/>
          <w:highlight w:val="none"/>
        </w:rPr>
        <w:t>注：资格性审查</w:t>
      </w:r>
      <w:r>
        <w:rPr>
          <w:rFonts w:hint="eastAsia" w:asciiTheme="minorEastAsia" w:hAnsiTheme="minorEastAsia" w:eastAsiaTheme="minorEastAsia" w:cstheme="minorEastAsia"/>
          <w:b/>
          <w:bCs/>
          <w:color w:val="000000"/>
          <w:sz w:val="21"/>
          <w:szCs w:val="21"/>
          <w:highlight w:val="none"/>
          <w:lang w:val="en-US" w:eastAsia="zh-CN"/>
        </w:rPr>
        <w:t>1-5</w:t>
      </w:r>
      <w:r>
        <w:rPr>
          <w:rFonts w:hint="eastAsia" w:asciiTheme="minorEastAsia" w:hAnsiTheme="minorEastAsia" w:eastAsiaTheme="minorEastAsia" w:cstheme="minorEastAsia"/>
          <w:b/>
          <w:bCs/>
          <w:color w:val="000000"/>
          <w:sz w:val="21"/>
          <w:szCs w:val="21"/>
          <w:highlight w:val="none"/>
        </w:rPr>
        <w:t>项如不能提供相应资料，仅</w:t>
      </w:r>
      <w:r>
        <w:rPr>
          <w:rFonts w:hint="eastAsia" w:asciiTheme="minorEastAsia" w:hAnsiTheme="minorEastAsia" w:eastAsiaTheme="minorEastAsia" w:cstheme="minorEastAsia"/>
          <w:b/>
          <w:bCs/>
          <w:color w:val="000000"/>
          <w:sz w:val="21"/>
          <w:szCs w:val="21"/>
          <w:highlight w:val="none"/>
          <w:lang w:eastAsia="zh-CN"/>
        </w:rPr>
        <w:t>需</w:t>
      </w:r>
      <w:r>
        <w:rPr>
          <w:rFonts w:hint="eastAsia" w:asciiTheme="minorEastAsia" w:hAnsiTheme="minorEastAsia" w:eastAsiaTheme="minorEastAsia" w:cstheme="minorEastAsia"/>
          <w:b/>
          <w:bCs/>
          <w:color w:val="000000"/>
          <w:sz w:val="21"/>
          <w:szCs w:val="21"/>
          <w:highlight w:val="none"/>
        </w:rPr>
        <w:t>如实提供书面承诺符合资格条件且无纳税、社保、重大违法等方面失信记录以及具备履行合同所必须的设备和能力的声明函，即认为满足条件可参与政府采购。</w:t>
      </w:r>
    </w:p>
    <w:p w14:paraId="3B6FB47E">
      <w:pPr>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br w:type="page"/>
      </w:r>
    </w:p>
    <w:p w14:paraId="29492D94">
      <w:pPr>
        <w:pStyle w:val="10"/>
        <w:ind w:firstLine="417"/>
        <w:rPr>
          <w:rFonts w:ascii="宋体" w:hAnsi="宋体" w:cs="宋体"/>
          <w:b/>
          <w:bCs/>
          <w:sz w:val="24"/>
          <w:szCs w:val="24"/>
          <w:highlight w:val="none"/>
        </w:rPr>
      </w:pPr>
      <w:r>
        <w:rPr>
          <w:rFonts w:hint="eastAsia" w:ascii="宋体" w:hAnsi="宋体" w:cs="宋体"/>
          <w:b/>
          <w:bCs/>
          <w:sz w:val="24"/>
          <w:szCs w:val="24"/>
          <w:highlight w:val="none"/>
        </w:rPr>
        <w:t>详细评审标准</w:t>
      </w:r>
    </w:p>
    <w:tbl>
      <w:tblPr>
        <w:tblStyle w:val="27"/>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846"/>
        <w:gridCol w:w="1194"/>
        <w:gridCol w:w="6120"/>
      </w:tblGrid>
      <w:tr w14:paraId="775E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709FD0E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三、详细评审</w:t>
            </w:r>
          </w:p>
        </w:tc>
      </w:tr>
      <w:tr w14:paraId="5F0E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B15E439">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1153" w:type="pct"/>
            <w:gridSpan w:val="2"/>
            <w:vAlign w:val="center"/>
          </w:tcPr>
          <w:p w14:paraId="360C7D51">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评审因素</w:t>
            </w:r>
          </w:p>
        </w:tc>
        <w:tc>
          <w:tcPr>
            <w:tcW w:w="3459" w:type="pct"/>
            <w:vAlign w:val="center"/>
          </w:tcPr>
          <w:p w14:paraId="3FE04F5B">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评审标准</w:t>
            </w:r>
          </w:p>
        </w:tc>
      </w:tr>
      <w:tr w14:paraId="5E2D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B686C1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478" w:type="pct"/>
            <w:vAlign w:val="center"/>
          </w:tcPr>
          <w:p w14:paraId="559ADA7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经济部分</w:t>
            </w:r>
          </w:p>
          <w:p w14:paraId="4629B78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0）</w:t>
            </w:r>
          </w:p>
        </w:tc>
        <w:tc>
          <w:tcPr>
            <w:tcW w:w="675" w:type="pct"/>
            <w:vAlign w:val="center"/>
          </w:tcPr>
          <w:p w14:paraId="0B3CA795">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投标报价</w:t>
            </w:r>
          </w:p>
          <w:p w14:paraId="68EEB07D">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0）</w:t>
            </w:r>
          </w:p>
        </w:tc>
        <w:tc>
          <w:tcPr>
            <w:tcW w:w="3459" w:type="pct"/>
            <w:vAlign w:val="center"/>
          </w:tcPr>
          <w:p w14:paraId="5489C4D5">
            <w:pPr>
              <w:keepNext w:val="0"/>
              <w:keepLines w:val="0"/>
              <w:pageBreakBefore w:val="0"/>
              <w:widowControl w:val="0"/>
              <w:numPr>
                <w:ilvl w:val="0"/>
                <w:numId w:val="5"/>
              </w:numPr>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评标基准价=有效投标人的最低报价；</w:t>
            </w:r>
          </w:p>
          <w:p w14:paraId="335C1256">
            <w:pPr>
              <w:keepNext w:val="0"/>
              <w:keepLines w:val="0"/>
              <w:pageBreakBefore w:val="0"/>
              <w:widowControl w:val="0"/>
              <w:numPr>
                <w:ilvl w:val="0"/>
                <w:numId w:val="5"/>
              </w:numPr>
              <w:kinsoku/>
              <w:wordWrap/>
              <w:overflowPunct/>
              <w:topLinePunct w:val="0"/>
              <w:bidi w:val="0"/>
              <w:spacing w:line="440" w:lineRule="exact"/>
              <w:jc w:val="left"/>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投标报价得分=评标基准价/投标报价×</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0×100%；</w:t>
            </w:r>
          </w:p>
          <w:p w14:paraId="56987F49">
            <w:pPr>
              <w:keepNext w:val="0"/>
              <w:keepLines w:val="0"/>
              <w:pageBreakBefore w:val="0"/>
              <w:widowControl w:val="0"/>
              <w:kinsoku/>
              <w:wordWrap/>
              <w:overflowPunct/>
              <w:topLinePunct w:val="0"/>
              <w:bidi w:val="0"/>
              <w:spacing w:line="440" w:lineRule="exact"/>
              <w:jc w:val="lef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注：有效投标人是指实质上响应招标文件要求并通过资格性、符合性审查的投标人。</w:t>
            </w:r>
          </w:p>
        </w:tc>
      </w:tr>
      <w:tr w14:paraId="4F53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restart"/>
            <w:vAlign w:val="center"/>
          </w:tcPr>
          <w:p w14:paraId="3FFB5B2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478" w:type="pct"/>
            <w:vMerge w:val="restart"/>
            <w:vAlign w:val="center"/>
          </w:tcPr>
          <w:p w14:paraId="507CED72">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综合</w:t>
            </w:r>
          </w:p>
          <w:p w14:paraId="7ED2E7B7">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部分</w:t>
            </w:r>
          </w:p>
          <w:p w14:paraId="6C0B9C15">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40</w:t>
            </w:r>
            <w:r>
              <w:rPr>
                <w:rFonts w:hint="eastAsia" w:asciiTheme="minorEastAsia" w:hAnsiTheme="minorEastAsia" w:eastAsiaTheme="minorEastAsia" w:cstheme="minorEastAsia"/>
                <w:color w:val="000000"/>
                <w:sz w:val="21"/>
                <w:szCs w:val="21"/>
                <w:highlight w:val="none"/>
              </w:rPr>
              <w:t>）</w:t>
            </w:r>
          </w:p>
        </w:tc>
        <w:tc>
          <w:tcPr>
            <w:tcW w:w="675" w:type="pct"/>
            <w:vAlign w:val="center"/>
          </w:tcPr>
          <w:p w14:paraId="168D9230">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p>
          <w:p w14:paraId="3D981EA2">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w:t>
            </w:r>
          </w:p>
        </w:tc>
        <w:tc>
          <w:tcPr>
            <w:tcW w:w="3459" w:type="pct"/>
            <w:vAlign w:val="center"/>
          </w:tcPr>
          <w:p w14:paraId="296229E0">
            <w:pPr>
              <w:keepNext w:val="0"/>
              <w:keepLines w:val="0"/>
              <w:pageBreakBefore w:val="0"/>
              <w:widowControl w:val="0"/>
              <w:kinsoku/>
              <w:wordWrap/>
              <w:overflowPunct/>
              <w:topLinePunct w:val="0"/>
              <w:bidi w:val="0"/>
              <w:spacing w:line="440" w:lineRule="exact"/>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年0</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月01日以来承揽过类似业绩（时间以签订合同日期为准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企业或事业或行政单位食堂餐厅服务</w:t>
            </w:r>
            <w:r>
              <w:rPr>
                <w:rFonts w:hint="eastAsia" w:asciiTheme="minorEastAsia" w:hAnsiTheme="minorEastAsia" w:eastAsiaTheme="minorEastAsia" w:cstheme="minorEastAsia"/>
                <w:color w:val="auto"/>
                <w:sz w:val="21"/>
                <w:szCs w:val="21"/>
                <w:highlight w:val="none"/>
              </w:rPr>
              <w:t>），每提供一份完整合同得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分，本项最多得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分，不提供或提供的不符合磋商文件要求的不得分。</w:t>
            </w:r>
          </w:p>
          <w:p w14:paraId="268BBCD6">
            <w:pPr>
              <w:pStyle w:val="10"/>
              <w:keepNext w:val="0"/>
              <w:keepLines w:val="0"/>
              <w:pageBreakBefore w:val="0"/>
              <w:widowControl w:val="0"/>
              <w:kinsoku/>
              <w:wordWrap/>
              <w:overflowPunct/>
              <w:topLinePunct w:val="0"/>
              <w:bidi w:val="0"/>
              <w:spacing w:line="440" w:lineRule="exact"/>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pacing w:val="0"/>
                <w:sz w:val="21"/>
                <w:szCs w:val="21"/>
                <w:highlight w:val="none"/>
              </w:rPr>
              <w:t>注：</w:t>
            </w:r>
            <w:r>
              <w:rPr>
                <w:rFonts w:hint="eastAsia" w:asciiTheme="minorEastAsia" w:hAnsiTheme="minorEastAsia" w:eastAsiaTheme="minorEastAsia" w:cstheme="minorEastAsia"/>
                <w:color w:val="auto"/>
                <w:sz w:val="21"/>
                <w:szCs w:val="21"/>
                <w:highlight w:val="none"/>
              </w:rPr>
              <w:t>中标（成交）通知书</w:t>
            </w:r>
            <w:r>
              <w:rPr>
                <w:rFonts w:hint="eastAsia" w:asciiTheme="minorEastAsia" w:hAnsiTheme="minorEastAsia" w:eastAsiaTheme="minorEastAsia" w:cstheme="minorEastAsia"/>
                <w:bCs w:val="0"/>
                <w:color w:val="auto"/>
                <w:spacing w:val="0"/>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用户评价意见</w:t>
            </w:r>
            <w:r>
              <w:rPr>
                <w:rFonts w:hint="eastAsia" w:asciiTheme="minorEastAsia" w:hAnsiTheme="minorEastAsia" w:eastAsiaTheme="minorEastAsia" w:cstheme="minorEastAsia"/>
                <w:bCs w:val="0"/>
                <w:color w:val="auto"/>
                <w:spacing w:val="0"/>
                <w:sz w:val="21"/>
                <w:szCs w:val="21"/>
                <w:highlight w:val="none"/>
              </w:rPr>
              <w:t>同时具备方为有效。</w:t>
            </w:r>
          </w:p>
        </w:tc>
      </w:tr>
      <w:tr w14:paraId="25F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vAlign w:val="center"/>
          </w:tcPr>
          <w:p w14:paraId="037E987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478" w:type="pct"/>
            <w:vMerge w:val="continue"/>
            <w:vAlign w:val="center"/>
          </w:tcPr>
          <w:p w14:paraId="6EA3EE1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675" w:type="pct"/>
            <w:vAlign w:val="center"/>
          </w:tcPr>
          <w:p w14:paraId="404E67EE">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机构</w:t>
            </w:r>
            <w:r>
              <w:rPr>
                <w:rFonts w:hint="eastAsia" w:asciiTheme="minorEastAsia" w:hAnsiTheme="minorEastAsia" w:eastAsiaTheme="minorEastAsia" w:cstheme="minorEastAsia"/>
                <w:color w:val="auto"/>
                <w:sz w:val="21"/>
                <w:szCs w:val="21"/>
                <w:highlight w:val="none"/>
                <w:lang w:val="en-US" w:eastAsia="zh-CN"/>
              </w:rPr>
              <w:t>配置</w:t>
            </w:r>
          </w:p>
          <w:p w14:paraId="3C1B748C">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w:t>
            </w:r>
          </w:p>
        </w:tc>
        <w:tc>
          <w:tcPr>
            <w:tcW w:w="3459" w:type="pct"/>
            <w:vAlign w:val="center"/>
          </w:tcPr>
          <w:p w14:paraId="701D36BE">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bookmarkStart w:id="610" w:name="OLE_LINK1"/>
            <w:r>
              <w:rPr>
                <w:rFonts w:hint="eastAsia" w:asciiTheme="minorEastAsia" w:hAnsiTheme="minorEastAsia" w:eastAsiaTheme="minorEastAsia" w:cstheme="minorEastAsia"/>
                <w:color w:val="auto"/>
                <w:sz w:val="21"/>
                <w:szCs w:val="21"/>
                <w:highlight w:val="none"/>
                <w:lang w:val="en-US" w:eastAsia="zh-CN"/>
              </w:rPr>
              <w:t>项目负责人：从事相关行业≧5年（以劳动合同时间为准），3分/人，满分3分，提供身份证扫描件、健康证、大专或大专以上学历证书、劳动合同和社保证明，同时具有职业技能等级证书（中式烹调师一级高级技师），否则不得分；</w:t>
            </w:r>
          </w:p>
          <w:p w14:paraId="777732D6">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厨师长：从事相关行业≧3年（以证书时间为准），3分/人，满分3分，提供身份证扫描件、健康证、证书、劳动合同和社保证明，同时具有职业技能等级证书（中式烹调师）二级技师及以上，否则不得分；</w:t>
            </w:r>
          </w:p>
          <w:p w14:paraId="628C9270">
            <w:pPr>
              <w:keepNext w:val="0"/>
              <w:keepLines w:val="0"/>
              <w:pageBreakBefore w:val="0"/>
              <w:widowControl w:val="0"/>
              <w:numPr>
                <w:ilvl w:val="0"/>
                <w:numId w:val="6"/>
              </w:numPr>
              <w:kinsoku/>
              <w:wordWrap/>
              <w:overflowPunct/>
              <w:topLinePunct w:val="0"/>
              <w:bidi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前厅主管：从事相关行业≧3年（以劳动合同时间为准），3分/人，满分3分，提供身份证扫描件、健康证、劳动合同和社保证明，否则不得分；</w:t>
            </w:r>
          </w:p>
          <w:bookmarkEnd w:id="610"/>
          <w:p w14:paraId="52B0C27C">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厨师：从事相关行业≧3年（以证书时间为准），1分/人，满分6分，提供身份证扫描件、健康证、证书、劳动合同，否则不得分；</w:t>
            </w:r>
          </w:p>
          <w:p w14:paraId="4D4A7FC2">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点师：共3人，其中1人从事相关行业≧3年（以证书时间为准），提供身份证扫描件、健康证、证书、劳动合同和社保证明，同时具有职业技能等级证书（中式面点师）二级技师及以上证书、职业技能等级证书（公共营养师），得2分，否则不得分；</w:t>
            </w:r>
          </w:p>
          <w:p w14:paraId="0BF43CFC">
            <w:pPr>
              <w:keepNext w:val="0"/>
              <w:keepLines w:val="0"/>
              <w:pageBreakBefore w:val="0"/>
              <w:widowControl w:val="0"/>
              <w:numPr>
                <w:ilvl w:val="0"/>
                <w:numId w:val="0"/>
              </w:numPr>
              <w:kinsoku/>
              <w:wordWrap/>
              <w:overflowPunct/>
              <w:topLinePunct w:val="0"/>
              <w:bidi w:val="0"/>
              <w:spacing w:line="440" w:lineRule="exact"/>
              <w:ind w:left="420" w:leftChars="200" w:firstLine="0" w:firstLine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其余2人从事相关行业≧3年（以证书时间为准），0.5分/人，满分1分，提供身份证扫描件、健康证、证书、劳动合同，不低于中级面点师资格证书，否则不得分；</w:t>
            </w:r>
          </w:p>
          <w:p w14:paraId="237E5633">
            <w:pPr>
              <w:keepNext w:val="0"/>
              <w:keepLines w:val="0"/>
              <w:pageBreakBefore w:val="0"/>
              <w:widowControl w:val="0"/>
              <w:numPr>
                <w:ilvl w:val="0"/>
                <w:numId w:val="6"/>
              </w:numPr>
              <w:kinsoku/>
              <w:wordWrap/>
              <w:overflowPunct/>
              <w:topLinePunct w:val="0"/>
              <w:bidi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餐厅服务员：从事相关行业≧2年（以证书时间为准），1分/人，满分9分，提供身份证扫描件、健康证、证书、劳动合同，否则不得分；</w:t>
            </w:r>
          </w:p>
          <w:p w14:paraId="3BE24F78">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切配：从事相关行业≧3年（以劳动合同时间为准），0.5分/人，满分1.5分，提供身份证扫描件、健康证、劳动合同，否则不得分；</w:t>
            </w:r>
          </w:p>
          <w:p w14:paraId="54218363">
            <w:pPr>
              <w:keepNext w:val="0"/>
              <w:keepLines w:val="0"/>
              <w:pageBreakBefore w:val="0"/>
              <w:widowControl w:val="0"/>
              <w:numPr>
                <w:ilvl w:val="0"/>
                <w:numId w:val="6"/>
              </w:numPr>
              <w:kinsoku/>
              <w:wordWrap/>
              <w:overflowPunct/>
              <w:topLinePunct w:val="0"/>
              <w:bidi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洗碗工：0.5分/人，满分1.5分，提供身份证扫描件、健康证、劳动合同，否则不得分；</w:t>
            </w:r>
          </w:p>
          <w:p w14:paraId="3C01B54C">
            <w:pPr>
              <w:pStyle w:val="58"/>
              <w:keepNext w:val="0"/>
              <w:keepLines w:val="0"/>
              <w:pageBreakBefore w:val="0"/>
              <w:widowControl w:val="0"/>
              <w:kinsoku/>
              <w:wordWrap/>
              <w:overflowPunct/>
              <w:topLinePunct w:val="0"/>
              <w:bidi w:val="0"/>
              <w:spacing w:line="440" w:lineRule="exact"/>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rPr>
              <w:t>注：</w:t>
            </w:r>
            <w:r>
              <w:rPr>
                <w:rFonts w:hint="eastAsia" w:asciiTheme="minorEastAsia" w:hAnsiTheme="minorEastAsia" w:eastAsiaTheme="minorEastAsia" w:cstheme="minorEastAsia"/>
                <w:b/>
                <w:bCs/>
                <w:color w:val="000000"/>
                <w:sz w:val="21"/>
                <w:szCs w:val="21"/>
                <w:highlight w:val="none"/>
                <w:lang w:val="en-US" w:eastAsia="zh-CN"/>
              </w:rPr>
              <w:t>厨师长、厨师、面点师、项目负责人应同时提供人力资源和社会保障部颁发的证书网页查询截图（查询网页：</w:t>
            </w:r>
            <w:r>
              <w:rPr>
                <w:rFonts w:hint="eastAsia" w:asciiTheme="minorEastAsia" w:hAnsiTheme="minorEastAsia" w:eastAsiaTheme="minorEastAsia" w:cstheme="minorEastAsia"/>
                <w:b/>
                <w:bCs/>
                <w:color w:val="000000"/>
                <w:sz w:val="21"/>
                <w:szCs w:val="21"/>
                <w:highlight w:val="none"/>
                <w:lang w:val="en-US" w:eastAsia="zh-CN"/>
              </w:rPr>
              <w:fldChar w:fldCharType="begin"/>
            </w:r>
            <w:r>
              <w:rPr>
                <w:rFonts w:hint="eastAsia" w:asciiTheme="minorEastAsia" w:hAnsiTheme="minorEastAsia" w:eastAsiaTheme="minorEastAsia" w:cstheme="minorEastAsia"/>
                <w:b/>
                <w:bCs/>
                <w:color w:val="000000"/>
                <w:sz w:val="21"/>
                <w:szCs w:val="21"/>
                <w:highlight w:val="none"/>
                <w:lang w:val="en-US" w:eastAsia="zh-CN"/>
              </w:rPr>
              <w:instrText xml:space="preserve"> HYPERLINK "http://www.osta.org.cn/index.html）" </w:instrText>
            </w:r>
            <w:r>
              <w:rPr>
                <w:rFonts w:hint="eastAsia" w:asciiTheme="minorEastAsia" w:hAnsiTheme="minorEastAsia" w:eastAsiaTheme="minorEastAsia" w:cstheme="minorEastAsia"/>
                <w:b/>
                <w:bCs/>
                <w:color w:val="000000"/>
                <w:sz w:val="21"/>
                <w:szCs w:val="21"/>
                <w:highlight w:val="none"/>
                <w:lang w:val="en-US" w:eastAsia="zh-CN"/>
              </w:rPr>
              <w:fldChar w:fldCharType="separate"/>
            </w:r>
            <w:r>
              <w:rPr>
                <w:rFonts w:hint="eastAsia" w:asciiTheme="minorEastAsia" w:hAnsiTheme="minorEastAsia" w:eastAsiaTheme="minorEastAsia" w:cstheme="minorEastAsia"/>
                <w:b/>
                <w:bCs/>
                <w:color w:val="000000"/>
                <w:sz w:val="21"/>
                <w:szCs w:val="21"/>
                <w:highlight w:val="none"/>
                <w:lang w:val="en-US" w:eastAsia="zh-CN"/>
              </w:rPr>
              <w:t>http://www.osta.org.cn/index.html）</w:t>
            </w:r>
            <w:r>
              <w:rPr>
                <w:rFonts w:hint="eastAsia" w:asciiTheme="minorEastAsia" w:hAnsiTheme="minorEastAsia" w:eastAsiaTheme="minorEastAsia" w:cstheme="minorEastAsia"/>
                <w:b/>
                <w:bCs/>
                <w:color w:val="000000"/>
                <w:sz w:val="21"/>
                <w:szCs w:val="21"/>
                <w:highlight w:val="none"/>
                <w:lang w:val="en-US" w:eastAsia="zh-CN"/>
              </w:rPr>
              <w:fldChar w:fldCharType="end"/>
            </w:r>
            <w:r>
              <w:rPr>
                <w:rFonts w:hint="eastAsia" w:asciiTheme="minorEastAsia" w:hAnsiTheme="minorEastAsia" w:eastAsiaTheme="minorEastAsia" w:cstheme="minorEastAsia"/>
                <w:b/>
                <w:bCs/>
                <w:color w:val="000000"/>
                <w:sz w:val="21"/>
                <w:szCs w:val="21"/>
                <w:highlight w:val="none"/>
                <w:lang w:val="en-US" w:eastAsia="zh-CN"/>
              </w:rPr>
              <w:t>；</w:t>
            </w:r>
          </w:p>
          <w:p w14:paraId="5456AF4C">
            <w:pPr>
              <w:pStyle w:val="58"/>
              <w:keepNext w:val="0"/>
              <w:keepLines w:val="0"/>
              <w:pageBreakBefore w:val="0"/>
              <w:widowControl w:val="0"/>
              <w:kinsoku/>
              <w:wordWrap/>
              <w:overflowPunct/>
              <w:topLinePunct w:val="0"/>
              <w:bidi w:val="0"/>
              <w:spacing w:line="440" w:lineRule="exact"/>
              <w:textAlignment w:val="auto"/>
              <w:rPr>
                <w:rFonts w:hint="eastAsia" w:asciiTheme="minorEastAsia" w:hAnsiTheme="minorEastAsia" w:eastAsiaTheme="minorEastAsia" w:cstheme="minorEastAsia"/>
                <w:b w:val="0"/>
                <w:bCs w:val="0"/>
                <w:color w:val="000000"/>
                <w:sz w:val="21"/>
                <w:szCs w:val="21"/>
                <w:highlight w:val="none"/>
                <w:lang w:val="en-US" w:eastAsia="zh-CN"/>
              </w:rPr>
            </w:pPr>
          </w:p>
          <w:p w14:paraId="5057AD80">
            <w:pPr>
              <w:pStyle w:val="58"/>
              <w:keepNext w:val="0"/>
              <w:keepLines w:val="0"/>
              <w:pageBreakBefore w:val="0"/>
              <w:widowControl w:val="0"/>
              <w:kinsoku/>
              <w:wordWrap/>
              <w:overflowPunct/>
              <w:topLinePunct w:val="0"/>
              <w:bidi w:val="0"/>
              <w:spacing w:line="440" w:lineRule="exact"/>
              <w:textAlignment w:val="auto"/>
              <w:rPr>
                <w:rFonts w:hint="default"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(9)投标人承诺：项目核心人员（项目负责人、厨师长、前厅主管、面点师1人（中式面点师）二级技师及以上）后期履约期间不得擅自更换调整，投标人承诺得2分，否则不得分。</w:t>
            </w:r>
          </w:p>
        </w:tc>
      </w:tr>
      <w:tr w14:paraId="2E2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restart"/>
            <w:vAlign w:val="center"/>
          </w:tcPr>
          <w:p w14:paraId="15220F20">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478" w:type="pct"/>
            <w:vMerge w:val="restart"/>
            <w:vAlign w:val="center"/>
          </w:tcPr>
          <w:p w14:paraId="7113C8A0">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color w:val="000000"/>
                <w:sz w:val="21"/>
                <w:szCs w:val="21"/>
                <w:highlight w:val="none"/>
              </w:rPr>
              <w:t>部分（4</w:t>
            </w:r>
            <w:r>
              <w:rPr>
                <w:rFonts w:hint="eastAsia" w:asciiTheme="minorEastAsia" w:hAnsiTheme="minorEastAsia" w:eastAsiaTheme="minorEastAsia" w:cstheme="minorEastAsia"/>
                <w:color w:val="000000"/>
                <w:sz w:val="21"/>
                <w:szCs w:val="21"/>
                <w:highlight w:val="none"/>
                <w:lang w:val="en-US" w:eastAsia="zh-CN"/>
              </w:rPr>
              <w:t>0</w:t>
            </w:r>
            <w:r>
              <w:rPr>
                <w:rFonts w:hint="eastAsia" w:asciiTheme="minorEastAsia" w:hAnsiTheme="minorEastAsia" w:eastAsiaTheme="minorEastAsia" w:cstheme="minorEastAsia"/>
                <w:color w:val="000000"/>
                <w:sz w:val="21"/>
                <w:szCs w:val="21"/>
                <w:highlight w:val="none"/>
              </w:rPr>
              <w:t>）</w:t>
            </w:r>
          </w:p>
        </w:tc>
        <w:tc>
          <w:tcPr>
            <w:tcW w:w="675" w:type="pct"/>
            <w:vAlign w:val="center"/>
          </w:tcPr>
          <w:p w14:paraId="5489EA81">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项目整体实施方案（8）</w:t>
            </w:r>
          </w:p>
        </w:tc>
        <w:tc>
          <w:tcPr>
            <w:tcW w:w="3459" w:type="pct"/>
            <w:vAlign w:val="center"/>
          </w:tcPr>
          <w:p w14:paraId="3A7738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根据磋商文件中的“采购需求”章节要求编制。</w:t>
            </w:r>
          </w:p>
          <w:p w14:paraId="115F10E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方案内容具体全面，保障措施考虑周全细致，可操作性强的；得8分；</w:t>
            </w:r>
          </w:p>
          <w:p w14:paraId="651E7E3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方案内容全面，保障措施考虑一般，可操作性一般的；得5分；</w:t>
            </w:r>
          </w:p>
          <w:p w14:paraId="40692CF9">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方案内容不够详实，可操作性差的；得2分；</w:t>
            </w:r>
          </w:p>
          <w:p w14:paraId="2A6BD27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不提供的0分。</w:t>
            </w:r>
          </w:p>
        </w:tc>
      </w:tr>
      <w:tr w14:paraId="1D8E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vAlign w:val="center"/>
          </w:tcPr>
          <w:p w14:paraId="14BA06C2">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478" w:type="pct"/>
            <w:vMerge w:val="continue"/>
            <w:vAlign w:val="center"/>
          </w:tcPr>
          <w:p w14:paraId="5360534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675" w:type="pct"/>
            <w:vAlign w:val="center"/>
          </w:tcPr>
          <w:p w14:paraId="5FE95C7F">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质量保证措施方案（8）</w:t>
            </w:r>
          </w:p>
        </w:tc>
        <w:tc>
          <w:tcPr>
            <w:tcW w:w="3459" w:type="pct"/>
            <w:vAlign w:val="center"/>
          </w:tcPr>
          <w:p w14:paraId="258A3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根据磋商文件中的“采购需求”章节要求编制。</w:t>
            </w:r>
          </w:p>
          <w:p w14:paraId="281F64AC">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方案内容具体全面，保障措施考虑周全细致，可操作性强的；得8分；</w:t>
            </w:r>
          </w:p>
          <w:p w14:paraId="4139F8A6">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方案内容全面，保障措施考虑一般，可操作性一般的；得5分；</w:t>
            </w:r>
          </w:p>
          <w:p w14:paraId="443BD45D">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方案内容不够详实，可操作性差的；得2分；</w:t>
            </w:r>
          </w:p>
          <w:p w14:paraId="4B69E8CF">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不提供的0分。</w:t>
            </w:r>
          </w:p>
        </w:tc>
      </w:tr>
      <w:tr w14:paraId="4832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vAlign w:val="center"/>
          </w:tcPr>
          <w:p w14:paraId="5906440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478" w:type="pct"/>
            <w:vMerge w:val="continue"/>
            <w:vAlign w:val="center"/>
          </w:tcPr>
          <w:p w14:paraId="731AC5D7">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675" w:type="pct"/>
            <w:vAlign w:val="center"/>
          </w:tcPr>
          <w:p w14:paraId="03A712CE">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安全控制措施方案（8）</w:t>
            </w:r>
          </w:p>
        </w:tc>
        <w:tc>
          <w:tcPr>
            <w:tcW w:w="3459" w:type="pct"/>
            <w:vAlign w:val="center"/>
          </w:tcPr>
          <w:p w14:paraId="3E8915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根据磋商文件中的“采购需求”章节要求编制。</w:t>
            </w:r>
          </w:p>
          <w:p w14:paraId="03AEB70F">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方案内容具体全面，保障措施考虑周全细致，可操作性强的；得8分；</w:t>
            </w:r>
          </w:p>
          <w:p w14:paraId="7FE44B78">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方案内容全面，保障措施考虑一般，可操作性一般的；得5分；</w:t>
            </w:r>
          </w:p>
          <w:p w14:paraId="7EFED1E6">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方案内容不够详实，可操作性差的；得2分；</w:t>
            </w:r>
          </w:p>
          <w:p w14:paraId="1A5F4093">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不提供的0分。</w:t>
            </w:r>
          </w:p>
        </w:tc>
      </w:tr>
      <w:tr w14:paraId="07E7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vAlign w:val="center"/>
          </w:tcPr>
          <w:p w14:paraId="146E549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478" w:type="pct"/>
            <w:vMerge w:val="continue"/>
            <w:vAlign w:val="center"/>
          </w:tcPr>
          <w:p w14:paraId="481445D4">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675" w:type="pct"/>
            <w:vAlign w:val="center"/>
          </w:tcPr>
          <w:p w14:paraId="22BEB483">
            <w:pPr>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应急处理措施方案（8）</w:t>
            </w:r>
          </w:p>
        </w:tc>
        <w:tc>
          <w:tcPr>
            <w:tcW w:w="3459" w:type="pct"/>
            <w:vAlign w:val="center"/>
          </w:tcPr>
          <w:p w14:paraId="1C5915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根据磋商文件中的“采购需求”章节要求编制。</w:t>
            </w:r>
          </w:p>
          <w:p w14:paraId="67408ED3">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方案内容具体全面，保障措施考虑周全细致，可操作性强的；得8分；</w:t>
            </w:r>
          </w:p>
          <w:p w14:paraId="5BCA7306">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方案内容全面，保障措施考虑一般，可操作性一般的；得5分；</w:t>
            </w:r>
          </w:p>
          <w:p w14:paraId="5A6C85DE">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方案内容不够详实，可操作性差的；得2分；</w:t>
            </w:r>
          </w:p>
          <w:p w14:paraId="3C367DC3">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不提供的0分。</w:t>
            </w:r>
          </w:p>
        </w:tc>
      </w:tr>
      <w:tr w14:paraId="3E3E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vAlign w:val="center"/>
          </w:tcPr>
          <w:p w14:paraId="52B5A4BC">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478" w:type="pct"/>
            <w:vMerge w:val="continue"/>
            <w:vAlign w:val="center"/>
          </w:tcPr>
          <w:p w14:paraId="6004D6D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stheme="minorEastAsia"/>
                <w:color w:val="000000"/>
                <w:sz w:val="21"/>
                <w:szCs w:val="21"/>
                <w:highlight w:val="none"/>
              </w:rPr>
            </w:pPr>
          </w:p>
        </w:tc>
        <w:tc>
          <w:tcPr>
            <w:tcW w:w="675" w:type="pct"/>
            <w:vAlign w:val="center"/>
          </w:tcPr>
          <w:p w14:paraId="261402E4">
            <w:pPr>
              <w:pStyle w:val="43"/>
              <w:keepNext w:val="0"/>
              <w:keepLines w:val="0"/>
              <w:pageBreakBefore w:val="0"/>
              <w:widowControl w:val="0"/>
              <w:kinsoku/>
              <w:wordWrap/>
              <w:overflowPunct/>
              <w:topLinePunct w:val="0"/>
              <w:bidi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员工培训管理方案</w:t>
            </w:r>
            <w:r>
              <w:rPr>
                <w:rFonts w:hint="eastAsia" w:asciiTheme="minorEastAsia" w:hAnsiTheme="minorEastAsia" w:eastAsiaTheme="minorEastAsia" w:cstheme="minorEastAsia"/>
                <w:color w:val="000000"/>
                <w:sz w:val="21"/>
                <w:szCs w:val="21"/>
                <w:highlight w:val="none"/>
                <w:lang w:val="en-US" w:eastAsia="zh-CN"/>
              </w:rPr>
              <w:t>（8）</w:t>
            </w:r>
          </w:p>
        </w:tc>
        <w:tc>
          <w:tcPr>
            <w:tcW w:w="3459" w:type="pct"/>
            <w:vAlign w:val="center"/>
          </w:tcPr>
          <w:p w14:paraId="70FEEC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根据磋商文件中的“采购需求”章节要求编制。</w:t>
            </w:r>
          </w:p>
          <w:p w14:paraId="37978BED">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方案内容具体全面，保障措施考虑周全细致，可操作性强的；得8分；</w:t>
            </w:r>
          </w:p>
          <w:p w14:paraId="354F70E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2" w:leftChars="20" w:right="42" w:rightChars="20" w:firstLine="0" w:firstLine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方案内容全面，保障措施考虑一般，可操作性一般的；得5分；</w:t>
            </w:r>
          </w:p>
          <w:p w14:paraId="536F928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方案内容不够详实，可操作性差的；得2分；</w:t>
            </w:r>
          </w:p>
          <w:p w14:paraId="78C627E3">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2" w:leftChars="20" w:right="42" w:rightChars="20" w:firstLine="0" w:firstLineChars="0"/>
              <w:textAlignment w:val="auto"/>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不提供的0分。</w:t>
            </w:r>
          </w:p>
        </w:tc>
      </w:tr>
      <w:tr w14:paraId="1153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16B3DB10">
            <w:pPr>
              <w:keepNext w:val="0"/>
              <w:keepLines w:val="0"/>
              <w:pageBreakBefore w:val="0"/>
              <w:widowControl w:val="0"/>
              <w:numPr>
                <w:ilvl w:val="0"/>
                <w:numId w:val="12"/>
              </w:numPr>
              <w:kinsoku/>
              <w:wordWrap/>
              <w:overflowPunct/>
              <w:topLinePunct w:val="0"/>
              <w:bidi w:val="0"/>
              <w:spacing w:line="440" w:lineRule="exac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在评分办法规定的分值范围内打分，超出范围的，评分无效。计算过程中分值按四舍五入保留2位小数，结果按四舍五入保留2位小数。所有磋商小组成员的算术平均值即为该供应商的最终得分。</w:t>
            </w:r>
          </w:p>
          <w:p w14:paraId="320D630D">
            <w:pPr>
              <w:keepNext w:val="0"/>
              <w:keepLines w:val="0"/>
              <w:pageBreakBefore w:val="0"/>
              <w:widowControl w:val="0"/>
              <w:numPr>
                <w:ilvl w:val="0"/>
                <w:numId w:val="12"/>
              </w:numPr>
              <w:kinsoku/>
              <w:wordWrap/>
              <w:overflowPunct/>
              <w:topLinePunct w:val="0"/>
              <w:bidi w:val="0"/>
              <w:spacing w:line="440" w:lineRule="exact"/>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评审所涉及的证件开评标现场均不再要求提供原件，供应商应确保其在响应文件中均清晰，如因供应商原因导致磋商小组误判，一切后果由供应商自行承担。</w:t>
            </w:r>
          </w:p>
        </w:tc>
      </w:tr>
    </w:tbl>
    <w:p w14:paraId="22FD41BE">
      <w:pPr>
        <w:pStyle w:val="43"/>
        <w:rPr>
          <w:rFonts w:hint="eastAsia" w:ascii="宋体" w:hAnsi="宋体" w:cs="宋体"/>
          <w:kern w:val="0"/>
          <w:sz w:val="28"/>
          <w:szCs w:val="28"/>
          <w:highlight w:val="none"/>
        </w:rPr>
      </w:pPr>
    </w:p>
    <w:p w14:paraId="5DBA850E">
      <w:pPr>
        <w:pStyle w:val="10"/>
        <w:ind w:firstLine="415"/>
        <w:rPr>
          <w:rFonts w:ascii="宋体" w:hAnsi="宋体" w:cs="宋体"/>
          <w:sz w:val="24"/>
          <w:szCs w:val="24"/>
          <w:highlight w:val="none"/>
        </w:rPr>
      </w:pPr>
    </w:p>
    <w:p w14:paraId="7A516EC0">
      <w:pPr>
        <w:pStyle w:val="10"/>
        <w:ind w:firstLine="415"/>
        <w:rPr>
          <w:rFonts w:ascii="宋体" w:hAnsi="宋体" w:cs="宋体"/>
          <w:sz w:val="24"/>
          <w:szCs w:val="24"/>
          <w:highlight w:val="none"/>
        </w:rPr>
      </w:pPr>
      <w:r>
        <w:rPr>
          <w:rFonts w:hint="eastAsia" w:ascii="宋体" w:hAnsi="宋体" w:cs="宋体"/>
          <w:sz w:val="24"/>
          <w:szCs w:val="24"/>
          <w:highlight w:val="none"/>
        </w:rPr>
        <w:t>1.评标方法</w:t>
      </w:r>
    </w:p>
    <w:p w14:paraId="2BDDA954">
      <w:pPr>
        <w:pStyle w:val="10"/>
        <w:ind w:firstLine="415"/>
        <w:rPr>
          <w:rFonts w:ascii="宋体" w:hAnsi="宋体" w:cs="宋体"/>
          <w:sz w:val="24"/>
          <w:szCs w:val="24"/>
          <w:highlight w:val="none"/>
        </w:rPr>
      </w:pPr>
      <w:r>
        <w:rPr>
          <w:rFonts w:hint="eastAsia" w:ascii="宋体" w:hAnsi="宋体" w:cs="宋体"/>
          <w:sz w:val="24"/>
          <w:szCs w:val="24"/>
          <w:highlight w:val="none"/>
        </w:rPr>
        <w:t>本次评标采用综合评分法。磋商小组对满足磋商文件实质性要求的响应文件，按照本章第 2.2 款规定的评分标准进行打分，并按得分由高到低顺序推荐成交候选人，综合评分相等时，以报价得分高的优先；报价得分也相等的，由采购人自行确定。</w:t>
      </w:r>
    </w:p>
    <w:p w14:paraId="486A2995">
      <w:pPr>
        <w:pStyle w:val="10"/>
        <w:ind w:firstLine="415"/>
        <w:rPr>
          <w:rFonts w:ascii="宋体" w:hAnsi="宋体" w:cs="宋体"/>
          <w:sz w:val="24"/>
          <w:szCs w:val="24"/>
          <w:highlight w:val="none"/>
        </w:rPr>
      </w:pPr>
      <w:r>
        <w:rPr>
          <w:rFonts w:hint="eastAsia" w:ascii="宋体" w:hAnsi="宋体" w:cs="宋体"/>
          <w:sz w:val="24"/>
          <w:szCs w:val="24"/>
          <w:highlight w:val="none"/>
        </w:rPr>
        <w:t>2.评审标准</w:t>
      </w:r>
    </w:p>
    <w:p w14:paraId="71C8A3C0">
      <w:pPr>
        <w:pStyle w:val="10"/>
        <w:ind w:firstLine="415"/>
        <w:rPr>
          <w:rFonts w:ascii="宋体" w:hAnsi="宋体" w:cs="宋体"/>
          <w:sz w:val="24"/>
          <w:szCs w:val="24"/>
          <w:highlight w:val="none"/>
        </w:rPr>
      </w:pPr>
      <w:r>
        <w:rPr>
          <w:rFonts w:hint="eastAsia" w:ascii="宋体" w:hAnsi="宋体" w:cs="宋体"/>
          <w:sz w:val="24"/>
          <w:szCs w:val="24"/>
          <w:highlight w:val="none"/>
        </w:rPr>
        <w:t>2.1初步评审标准</w:t>
      </w:r>
    </w:p>
    <w:p w14:paraId="4593AA5D">
      <w:pPr>
        <w:pStyle w:val="10"/>
        <w:ind w:firstLine="415"/>
        <w:rPr>
          <w:rFonts w:ascii="宋体" w:hAnsi="宋体" w:cs="宋体"/>
          <w:sz w:val="24"/>
          <w:szCs w:val="24"/>
          <w:highlight w:val="none"/>
        </w:rPr>
      </w:pPr>
      <w:r>
        <w:rPr>
          <w:rFonts w:hint="eastAsia" w:ascii="宋体" w:hAnsi="宋体" w:cs="宋体"/>
          <w:sz w:val="24"/>
          <w:szCs w:val="24"/>
          <w:highlight w:val="none"/>
        </w:rPr>
        <w:t>2.1.1资格性检查评审标准：见评标办法前附表。</w:t>
      </w:r>
    </w:p>
    <w:p w14:paraId="2C9A889C">
      <w:pPr>
        <w:pStyle w:val="10"/>
        <w:ind w:firstLine="415"/>
        <w:rPr>
          <w:rFonts w:ascii="宋体" w:hAnsi="宋体" w:cs="宋体"/>
          <w:sz w:val="24"/>
          <w:szCs w:val="24"/>
          <w:highlight w:val="none"/>
        </w:rPr>
      </w:pPr>
      <w:r>
        <w:rPr>
          <w:rFonts w:hint="eastAsia" w:ascii="宋体" w:hAnsi="宋体" w:cs="宋体"/>
          <w:sz w:val="24"/>
          <w:szCs w:val="24"/>
          <w:highlight w:val="none"/>
        </w:rPr>
        <w:t>2.1.2符合性检查评审标准：见评标办法前附表。</w:t>
      </w:r>
    </w:p>
    <w:p w14:paraId="33CC1BD9">
      <w:pPr>
        <w:pStyle w:val="10"/>
        <w:ind w:firstLine="415"/>
        <w:rPr>
          <w:rFonts w:ascii="宋体" w:hAnsi="宋体" w:cs="宋体"/>
          <w:sz w:val="24"/>
          <w:szCs w:val="24"/>
          <w:highlight w:val="none"/>
        </w:rPr>
      </w:pPr>
      <w:r>
        <w:rPr>
          <w:rFonts w:hint="eastAsia" w:ascii="宋体" w:hAnsi="宋体" w:cs="宋体"/>
          <w:sz w:val="24"/>
          <w:szCs w:val="24"/>
          <w:highlight w:val="none"/>
        </w:rPr>
        <w:t>2.2分值构成与评分标准</w:t>
      </w:r>
    </w:p>
    <w:p w14:paraId="15EC6204">
      <w:pPr>
        <w:pStyle w:val="10"/>
        <w:ind w:firstLine="415"/>
        <w:rPr>
          <w:rFonts w:ascii="宋体" w:hAnsi="宋体" w:cs="宋体"/>
          <w:sz w:val="24"/>
          <w:szCs w:val="24"/>
          <w:highlight w:val="none"/>
        </w:rPr>
      </w:pPr>
      <w:r>
        <w:rPr>
          <w:rFonts w:hint="eastAsia" w:ascii="宋体" w:hAnsi="宋体" w:cs="宋体"/>
          <w:sz w:val="24"/>
          <w:szCs w:val="24"/>
          <w:highlight w:val="none"/>
        </w:rPr>
        <w:t>2.2.1分值构成：见评标办法前附表；</w:t>
      </w:r>
    </w:p>
    <w:p w14:paraId="58890B2E">
      <w:pPr>
        <w:pStyle w:val="10"/>
        <w:ind w:firstLine="415"/>
        <w:rPr>
          <w:rFonts w:ascii="宋体" w:hAnsi="宋体" w:cs="宋体"/>
          <w:sz w:val="24"/>
          <w:szCs w:val="24"/>
          <w:highlight w:val="none"/>
        </w:rPr>
      </w:pPr>
      <w:r>
        <w:rPr>
          <w:rFonts w:hint="eastAsia" w:ascii="宋体" w:hAnsi="宋体" w:cs="宋体"/>
          <w:sz w:val="24"/>
          <w:szCs w:val="24"/>
          <w:highlight w:val="none"/>
        </w:rPr>
        <w:t>2.2.2评分标准：见评标办法前附表；</w:t>
      </w:r>
    </w:p>
    <w:p w14:paraId="16CC8744">
      <w:pPr>
        <w:pStyle w:val="10"/>
        <w:ind w:firstLine="415"/>
        <w:rPr>
          <w:rFonts w:ascii="宋体" w:hAnsi="宋体" w:cs="宋体"/>
          <w:sz w:val="24"/>
          <w:szCs w:val="24"/>
          <w:highlight w:val="none"/>
        </w:rPr>
      </w:pPr>
      <w:r>
        <w:rPr>
          <w:rFonts w:hint="eastAsia" w:ascii="宋体" w:hAnsi="宋体" w:cs="宋体"/>
          <w:sz w:val="24"/>
          <w:szCs w:val="24"/>
          <w:highlight w:val="none"/>
        </w:rPr>
        <w:t>3.评审程序</w:t>
      </w:r>
    </w:p>
    <w:p w14:paraId="78771E60">
      <w:pPr>
        <w:pStyle w:val="10"/>
        <w:ind w:firstLine="415"/>
        <w:rPr>
          <w:rFonts w:ascii="宋体" w:hAnsi="宋体" w:cs="宋体"/>
          <w:sz w:val="24"/>
          <w:szCs w:val="24"/>
          <w:highlight w:val="none"/>
        </w:rPr>
      </w:pPr>
      <w:r>
        <w:rPr>
          <w:rFonts w:hint="eastAsia" w:ascii="宋体" w:hAnsi="宋体" w:cs="宋体"/>
          <w:sz w:val="24"/>
          <w:szCs w:val="24"/>
          <w:highlight w:val="none"/>
        </w:rPr>
        <w:t>3.1初步评审</w:t>
      </w:r>
    </w:p>
    <w:p w14:paraId="5018827F">
      <w:pPr>
        <w:pStyle w:val="10"/>
        <w:ind w:firstLine="415"/>
        <w:rPr>
          <w:rFonts w:ascii="宋体" w:hAnsi="宋体" w:cs="宋体"/>
          <w:sz w:val="24"/>
          <w:szCs w:val="24"/>
          <w:highlight w:val="none"/>
        </w:rPr>
      </w:pPr>
      <w:r>
        <w:rPr>
          <w:rFonts w:hint="eastAsia" w:ascii="宋体" w:hAnsi="宋体" w:cs="宋体"/>
          <w:sz w:val="24"/>
          <w:szCs w:val="24"/>
          <w:highlight w:val="none"/>
        </w:rPr>
        <w:t>3.1.1磋商小组依据本章第 2.1 款规定的标准对响应文件进行初步评审。有一项不符合评审标准的，作废标处理。</w:t>
      </w:r>
    </w:p>
    <w:p w14:paraId="79C7612A">
      <w:pPr>
        <w:pStyle w:val="10"/>
        <w:ind w:firstLine="415"/>
        <w:rPr>
          <w:rFonts w:ascii="宋体" w:hAnsi="宋体" w:cs="宋体"/>
          <w:sz w:val="24"/>
          <w:szCs w:val="24"/>
          <w:highlight w:val="none"/>
        </w:rPr>
      </w:pPr>
      <w:r>
        <w:rPr>
          <w:rFonts w:hint="eastAsia" w:ascii="宋体" w:hAnsi="宋体" w:cs="宋体"/>
          <w:sz w:val="24"/>
          <w:szCs w:val="24"/>
          <w:highlight w:val="none"/>
        </w:rPr>
        <w:t>3.1.2供应商有以下情形之一的，其响应作无效标处理：</w:t>
      </w:r>
    </w:p>
    <w:p w14:paraId="641EB8BC">
      <w:pPr>
        <w:pStyle w:val="10"/>
        <w:ind w:firstLine="415"/>
        <w:rPr>
          <w:rFonts w:ascii="宋体" w:hAnsi="宋体" w:cs="宋体"/>
          <w:sz w:val="24"/>
          <w:szCs w:val="24"/>
          <w:highlight w:val="none"/>
        </w:rPr>
      </w:pPr>
      <w:r>
        <w:rPr>
          <w:rFonts w:hint="eastAsia" w:ascii="宋体" w:hAnsi="宋体" w:cs="宋体"/>
          <w:sz w:val="24"/>
          <w:szCs w:val="24"/>
          <w:highlight w:val="none"/>
        </w:rPr>
        <w:t>（1）供应商未提交磋商承诺函或招标代理服务费承诺函的；</w:t>
      </w:r>
    </w:p>
    <w:p w14:paraId="4A2A8AC0">
      <w:pPr>
        <w:pStyle w:val="10"/>
        <w:ind w:firstLine="415"/>
        <w:rPr>
          <w:rFonts w:ascii="宋体" w:hAnsi="宋体" w:cs="宋体"/>
          <w:sz w:val="24"/>
          <w:szCs w:val="24"/>
          <w:highlight w:val="none"/>
        </w:rPr>
      </w:pPr>
      <w:r>
        <w:rPr>
          <w:rFonts w:hint="eastAsia" w:ascii="宋体" w:hAnsi="宋体" w:cs="宋体"/>
          <w:sz w:val="24"/>
          <w:szCs w:val="24"/>
          <w:highlight w:val="none"/>
        </w:rPr>
        <w:t>（2）串通响应或弄虚作假或有其他违法行为的；</w:t>
      </w:r>
    </w:p>
    <w:p w14:paraId="409988D6">
      <w:pPr>
        <w:pStyle w:val="10"/>
        <w:ind w:firstLine="415"/>
        <w:rPr>
          <w:rFonts w:ascii="宋体" w:hAnsi="宋体" w:cs="宋体"/>
          <w:sz w:val="24"/>
          <w:szCs w:val="24"/>
          <w:highlight w:val="none"/>
        </w:rPr>
      </w:pPr>
      <w:r>
        <w:rPr>
          <w:rFonts w:hint="eastAsia" w:ascii="宋体" w:hAnsi="宋体" w:cs="宋体"/>
          <w:sz w:val="24"/>
          <w:szCs w:val="24"/>
          <w:highlight w:val="none"/>
        </w:rPr>
        <w:t>（3）不按磋商小组要求澄清、说明或补正的；</w:t>
      </w:r>
    </w:p>
    <w:p w14:paraId="47D7D2EC">
      <w:pPr>
        <w:pStyle w:val="10"/>
        <w:ind w:firstLine="415"/>
        <w:rPr>
          <w:rFonts w:ascii="宋体" w:hAnsi="宋体" w:cs="宋体"/>
          <w:sz w:val="24"/>
          <w:szCs w:val="24"/>
          <w:highlight w:val="none"/>
        </w:rPr>
      </w:pPr>
      <w:r>
        <w:rPr>
          <w:rFonts w:hint="eastAsia" w:ascii="宋体" w:hAnsi="宋体" w:cs="宋体"/>
          <w:sz w:val="24"/>
          <w:szCs w:val="24"/>
          <w:highlight w:val="none"/>
        </w:rPr>
        <w:t>（4）内容不全或关键字迹模糊、无法辨认的；</w:t>
      </w:r>
    </w:p>
    <w:p w14:paraId="134FB34A">
      <w:pPr>
        <w:pStyle w:val="10"/>
        <w:ind w:firstLine="415"/>
        <w:rPr>
          <w:rFonts w:ascii="宋体" w:hAnsi="宋体" w:cs="宋体"/>
          <w:sz w:val="24"/>
          <w:szCs w:val="24"/>
          <w:highlight w:val="none"/>
        </w:rPr>
      </w:pPr>
      <w:r>
        <w:rPr>
          <w:rFonts w:hint="eastAsia" w:ascii="宋体" w:hAnsi="宋体" w:cs="宋体"/>
          <w:sz w:val="24"/>
          <w:szCs w:val="24"/>
          <w:highlight w:val="none"/>
        </w:rPr>
        <w:t>（5）响应文件附有采购人不能接受的条件；</w:t>
      </w:r>
    </w:p>
    <w:p w14:paraId="5F99734F">
      <w:pPr>
        <w:pStyle w:val="10"/>
        <w:ind w:firstLine="415"/>
        <w:rPr>
          <w:rFonts w:ascii="宋体" w:hAnsi="宋体" w:cs="宋体"/>
          <w:sz w:val="24"/>
          <w:szCs w:val="24"/>
          <w:highlight w:val="none"/>
        </w:rPr>
      </w:pPr>
      <w:r>
        <w:rPr>
          <w:rFonts w:hint="eastAsia" w:ascii="宋体" w:hAnsi="宋体" w:cs="宋体"/>
          <w:sz w:val="24"/>
          <w:szCs w:val="24"/>
          <w:highlight w:val="none"/>
        </w:rPr>
        <w:t>（6）不符合磋商文件规定的其他实质性要求；</w:t>
      </w:r>
    </w:p>
    <w:p w14:paraId="6D73E16A">
      <w:pPr>
        <w:pStyle w:val="10"/>
        <w:ind w:firstLine="415"/>
        <w:rPr>
          <w:rFonts w:ascii="宋体" w:hAnsi="宋体" w:cs="宋体"/>
          <w:sz w:val="24"/>
          <w:szCs w:val="24"/>
          <w:highlight w:val="none"/>
        </w:rPr>
      </w:pPr>
      <w:r>
        <w:rPr>
          <w:rFonts w:hint="eastAsia" w:ascii="宋体" w:hAnsi="宋体" w:cs="宋体"/>
          <w:sz w:val="24"/>
          <w:szCs w:val="24"/>
          <w:highlight w:val="none"/>
        </w:rPr>
        <w:t>（7）响应文件制作机器码一致的。</w:t>
      </w:r>
    </w:p>
    <w:p w14:paraId="4C087B5D">
      <w:pPr>
        <w:pStyle w:val="10"/>
        <w:ind w:firstLine="415"/>
        <w:rPr>
          <w:rFonts w:ascii="宋体" w:hAnsi="宋体" w:cs="宋体"/>
          <w:sz w:val="24"/>
          <w:szCs w:val="24"/>
          <w:highlight w:val="none"/>
        </w:rPr>
      </w:pPr>
      <w:r>
        <w:rPr>
          <w:rFonts w:hint="eastAsia" w:ascii="宋体" w:hAnsi="宋体" w:cs="宋体"/>
          <w:sz w:val="24"/>
          <w:szCs w:val="24"/>
          <w:highlight w:val="none"/>
        </w:rPr>
        <w:t>3.2详细评审</w:t>
      </w:r>
    </w:p>
    <w:p w14:paraId="5C9A3FC6">
      <w:pPr>
        <w:pStyle w:val="10"/>
        <w:ind w:firstLine="415"/>
        <w:rPr>
          <w:rFonts w:ascii="宋体" w:hAnsi="宋体" w:cs="宋体"/>
          <w:sz w:val="24"/>
          <w:szCs w:val="24"/>
          <w:highlight w:val="none"/>
        </w:rPr>
      </w:pPr>
      <w:r>
        <w:rPr>
          <w:rFonts w:hint="eastAsia" w:ascii="宋体" w:hAnsi="宋体" w:cs="宋体"/>
          <w:sz w:val="24"/>
          <w:szCs w:val="24"/>
          <w:highlight w:val="none"/>
        </w:rPr>
        <w:t>3.2.1磋商小组按本章第 2.2 款规定的量化因素和分值进行打分，并计算出综合评分得分。</w:t>
      </w:r>
    </w:p>
    <w:p w14:paraId="3EDAD1A7">
      <w:pPr>
        <w:pStyle w:val="10"/>
        <w:ind w:firstLine="415"/>
        <w:rPr>
          <w:rFonts w:ascii="宋体" w:hAnsi="宋体" w:cs="宋体"/>
          <w:sz w:val="24"/>
          <w:szCs w:val="24"/>
          <w:highlight w:val="none"/>
        </w:rPr>
      </w:pPr>
      <w:r>
        <w:rPr>
          <w:rFonts w:hint="eastAsia" w:ascii="宋体" w:hAnsi="宋体" w:cs="宋体"/>
          <w:sz w:val="24"/>
          <w:szCs w:val="24"/>
          <w:highlight w:val="none"/>
        </w:rPr>
        <w:t>3.2.2评分分值计算保留小数点后两位，小数点后第三位“四舍五入”。</w:t>
      </w:r>
    </w:p>
    <w:p w14:paraId="13DABAFA">
      <w:pPr>
        <w:pStyle w:val="10"/>
        <w:ind w:firstLine="415"/>
        <w:rPr>
          <w:rFonts w:ascii="宋体" w:hAnsi="宋体" w:cs="宋体"/>
          <w:sz w:val="24"/>
          <w:szCs w:val="24"/>
          <w:highlight w:val="none"/>
        </w:rPr>
      </w:pPr>
      <w:r>
        <w:rPr>
          <w:rFonts w:hint="eastAsia" w:ascii="宋体" w:hAnsi="宋体" w:cs="宋体"/>
          <w:sz w:val="24"/>
          <w:szCs w:val="24"/>
          <w:highlight w:val="none"/>
        </w:rPr>
        <w:t>3.2.3供应商的最终得分以全部小组成员打分的算术平均值为准，作为该供应商的最终得分。</w:t>
      </w:r>
    </w:p>
    <w:p w14:paraId="39C9E66E">
      <w:pPr>
        <w:pStyle w:val="10"/>
        <w:ind w:firstLine="415"/>
        <w:rPr>
          <w:rFonts w:ascii="宋体" w:hAnsi="宋体" w:cs="宋体"/>
          <w:sz w:val="24"/>
          <w:szCs w:val="24"/>
          <w:highlight w:val="none"/>
        </w:rPr>
      </w:pPr>
      <w:r>
        <w:rPr>
          <w:rFonts w:hint="eastAsia" w:ascii="宋体" w:hAnsi="宋体" w:cs="宋体"/>
          <w:sz w:val="24"/>
          <w:szCs w:val="24"/>
          <w:highlight w:val="none"/>
        </w:rPr>
        <w:t>3.2.4在磋商过程中，凡遇到磋商文件中无界定或界定不清、前后不一致使磋商小组意见有分歧且又难以协商一致的问题，均由磋商小组予以表决，获半数以上同意的即为通过，未获半数同意的即为否决。</w:t>
      </w:r>
    </w:p>
    <w:p w14:paraId="6CD4648F">
      <w:pPr>
        <w:pStyle w:val="10"/>
        <w:ind w:firstLine="415"/>
        <w:rPr>
          <w:rFonts w:ascii="宋体" w:hAnsi="宋体" w:cs="宋体"/>
          <w:sz w:val="24"/>
          <w:szCs w:val="24"/>
          <w:highlight w:val="none"/>
        </w:rPr>
      </w:pPr>
      <w:r>
        <w:rPr>
          <w:rFonts w:hint="eastAsia" w:ascii="宋体" w:hAnsi="宋体" w:cs="宋体"/>
          <w:sz w:val="24"/>
          <w:szCs w:val="24"/>
          <w:highlight w:val="none"/>
        </w:rPr>
        <w:t>3.3响应文件的澄清和补正</w:t>
      </w:r>
    </w:p>
    <w:p w14:paraId="4D3E8289">
      <w:pPr>
        <w:pStyle w:val="10"/>
        <w:ind w:firstLine="415"/>
        <w:rPr>
          <w:rFonts w:ascii="宋体" w:hAnsi="宋体" w:cs="宋体"/>
          <w:sz w:val="24"/>
          <w:szCs w:val="24"/>
          <w:highlight w:val="none"/>
        </w:rPr>
      </w:pPr>
      <w:r>
        <w:rPr>
          <w:rFonts w:hint="eastAsia" w:ascii="宋体" w:hAnsi="宋体" w:cs="宋体"/>
          <w:sz w:val="24"/>
          <w:szCs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6C6854D5">
      <w:pPr>
        <w:pStyle w:val="10"/>
        <w:ind w:firstLine="415"/>
        <w:rPr>
          <w:rFonts w:ascii="宋体" w:hAnsi="宋体" w:cs="宋体"/>
          <w:sz w:val="24"/>
          <w:szCs w:val="24"/>
          <w:highlight w:val="none"/>
        </w:rPr>
      </w:pPr>
      <w:r>
        <w:rPr>
          <w:rFonts w:hint="eastAsia" w:ascii="宋体" w:hAnsi="宋体" w:cs="宋体"/>
          <w:sz w:val="24"/>
          <w:szCs w:val="24"/>
          <w:highlight w:val="none"/>
        </w:rPr>
        <w:t>3.3.2澄清、说明和补正不得超出响应文件的范围或者改变响应文件的实质性内容（算术性错误修正的除外）。供应商的书面澄清、说明和补正属于响应文件的组成部分。</w:t>
      </w:r>
    </w:p>
    <w:p w14:paraId="78EFAC5B">
      <w:pPr>
        <w:pStyle w:val="10"/>
        <w:ind w:firstLine="415"/>
        <w:rPr>
          <w:rFonts w:ascii="宋体" w:hAnsi="宋体" w:cs="宋体"/>
          <w:sz w:val="24"/>
          <w:szCs w:val="24"/>
          <w:highlight w:val="none"/>
        </w:rPr>
      </w:pPr>
      <w:r>
        <w:rPr>
          <w:rFonts w:hint="eastAsia" w:ascii="宋体" w:hAnsi="宋体" w:cs="宋体"/>
          <w:sz w:val="24"/>
          <w:szCs w:val="24"/>
          <w:highlight w:val="none"/>
        </w:rPr>
        <w:t>3.3.3磋商小组对供应商提交的澄清、说明或补正有疑问的，可以要求供应商进一步澄清、说明或补正，直至满足磋商小组的要求。</w:t>
      </w:r>
    </w:p>
    <w:p w14:paraId="47A8C883">
      <w:pPr>
        <w:pStyle w:val="10"/>
        <w:ind w:firstLine="415"/>
        <w:rPr>
          <w:rFonts w:ascii="宋体" w:hAnsi="宋体" w:cs="宋体"/>
          <w:sz w:val="24"/>
          <w:szCs w:val="24"/>
          <w:highlight w:val="none"/>
        </w:rPr>
      </w:pPr>
      <w:r>
        <w:rPr>
          <w:rFonts w:hint="eastAsia" w:ascii="宋体" w:hAnsi="宋体" w:cs="宋体"/>
          <w:sz w:val="24"/>
          <w:szCs w:val="24"/>
          <w:highlight w:val="none"/>
        </w:rPr>
        <w:t>3.4评标结果</w:t>
      </w:r>
    </w:p>
    <w:p w14:paraId="5FEF4B20">
      <w:pPr>
        <w:pStyle w:val="10"/>
        <w:ind w:firstLine="415"/>
        <w:rPr>
          <w:rFonts w:ascii="宋体" w:hAnsi="宋体" w:cs="宋体"/>
          <w:sz w:val="24"/>
          <w:szCs w:val="24"/>
          <w:highlight w:val="none"/>
        </w:rPr>
      </w:pPr>
      <w:r>
        <w:rPr>
          <w:rFonts w:hint="eastAsia" w:ascii="宋体" w:hAnsi="宋体" w:cs="宋体"/>
          <w:sz w:val="24"/>
          <w:szCs w:val="24"/>
          <w:highlight w:val="none"/>
        </w:rPr>
        <w:t>3.4.1除第二章“供应商须知”前附表授权直接确定成交人外，磋商小组按照得分由高到低的顺序推荐成交候选人。</w:t>
      </w:r>
    </w:p>
    <w:p w14:paraId="53960B8A">
      <w:pPr>
        <w:pStyle w:val="10"/>
        <w:ind w:firstLine="415"/>
        <w:rPr>
          <w:rFonts w:ascii="宋体" w:hAnsi="宋体" w:cs="宋体"/>
          <w:b/>
          <w:bCs/>
          <w:sz w:val="24"/>
          <w:szCs w:val="24"/>
          <w:highlight w:val="none"/>
        </w:rPr>
      </w:pPr>
      <w:r>
        <w:rPr>
          <w:rFonts w:hint="eastAsia" w:ascii="宋体" w:hAnsi="宋体" w:cs="宋体"/>
          <w:sz w:val="24"/>
          <w:szCs w:val="24"/>
          <w:highlight w:val="none"/>
        </w:rPr>
        <w:t>3.4.2磋商小组完成评标后，应当向采购人提交书面评审报告。</w:t>
      </w:r>
      <w:r>
        <w:rPr>
          <w:rFonts w:hint="eastAsia" w:ascii="宋体" w:hAnsi="宋体" w:cs="宋体"/>
          <w:b/>
          <w:bCs/>
          <w:sz w:val="24"/>
          <w:szCs w:val="24"/>
          <w:highlight w:val="none"/>
        </w:rPr>
        <w:br w:type="page"/>
      </w:r>
    </w:p>
    <w:p w14:paraId="152B4D05">
      <w:pPr>
        <w:pStyle w:val="44"/>
        <w:tabs>
          <w:tab w:val="left" w:pos="0"/>
        </w:tabs>
        <w:autoSpaceDE w:val="0"/>
        <w:autoSpaceDN w:val="0"/>
        <w:adjustRightInd w:val="0"/>
        <w:spacing w:before="0" w:line="360" w:lineRule="auto"/>
        <w:ind w:firstLine="1968" w:firstLineChars="700"/>
        <w:rPr>
          <w:rFonts w:ascii="宋体" w:hAnsi="宋体" w:eastAsia="宋体"/>
          <w:b/>
          <w:highlight w:val="none"/>
        </w:rPr>
      </w:pPr>
      <w:bookmarkStart w:id="611" w:name="_Toc29464"/>
      <w:bookmarkStart w:id="612" w:name="_Toc2676"/>
      <w:r>
        <w:rPr>
          <w:rFonts w:hint="eastAsia" w:ascii="宋体" w:hAnsi="宋体" w:eastAsia="宋体"/>
          <w:b/>
          <w:highlight w:val="none"/>
        </w:rPr>
        <w:t>第六章  政府采购合同条款及格式</w:t>
      </w:r>
      <w:bookmarkEnd w:id="611"/>
      <w:bookmarkEnd w:id="612"/>
      <w:bookmarkStart w:id="613" w:name="_Hlt487972895"/>
      <w:bookmarkEnd w:id="613"/>
      <w:bookmarkStart w:id="614" w:name="_Toc487900382"/>
      <w:bookmarkStart w:id="615" w:name="_Toc216513788"/>
    </w:p>
    <w:bookmarkEnd w:id="614"/>
    <w:bookmarkEnd w:id="615"/>
    <w:p w14:paraId="44E2C7D9">
      <w:pPr>
        <w:spacing w:before="120" w:line="22" w:lineRule="atLeast"/>
        <w:ind w:firstLine="3092" w:firstLineChars="1100"/>
        <w:rPr>
          <w:rFonts w:ascii="宋体" w:hAnsi="宋体"/>
          <w:b/>
          <w:bCs/>
          <w:sz w:val="28"/>
          <w:szCs w:val="28"/>
          <w:highlight w:val="none"/>
        </w:rPr>
      </w:pPr>
      <w:r>
        <w:rPr>
          <w:rFonts w:hint="eastAsia" w:ascii="宋体" w:hAnsi="宋体"/>
          <w:b/>
          <w:bCs/>
          <w:sz w:val="28"/>
          <w:szCs w:val="28"/>
          <w:highlight w:val="none"/>
        </w:rPr>
        <w:t>合同书（以实际签订为准）</w:t>
      </w:r>
    </w:p>
    <w:p w14:paraId="16BCB101">
      <w:pPr>
        <w:numPr>
          <w:ilvl w:val="0"/>
          <w:numId w:val="13"/>
        </w:num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职工食堂承包服务项目--- 总合同</w:t>
      </w:r>
    </w:p>
    <w:p w14:paraId="5E1D1EB0">
      <w:pPr>
        <w:numPr>
          <w:ilvl w:val="0"/>
          <w:numId w:val="0"/>
        </w:num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（河南省生态环境厅职工食堂服务项目主体合同）</w:t>
      </w:r>
    </w:p>
    <w:p w14:paraId="1AA43969">
      <w:pPr>
        <w:spacing w:line="360" w:lineRule="auto"/>
        <w:rPr>
          <w:rFonts w:hint="eastAsia" w:asciiTheme="minorEastAsia" w:hAnsiTheme="minorEastAsia" w:eastAsiaTheme="minorEastAsia" w:cstheme="minorEastAsia"/>
          <w:color w:val="auto"/>
          <w:sz w:val="24"/>
          <w:szCs w:val="24"/>
          <w:highlight w:val="none"/>
        </w:rPr>
      </w:pPr>
    </w:p>
    <w:p w14:paraId="24A0FB4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（采购主体）</w:t>
      </w:r>
      <w:r>
        <w:rPr>
          <w:rFonts w:hint="eastAsia" w:asciiTheme="minorEastAsia" w:hAnsiTheme="minorEastAsia" w:eastAsiaTheme="minorEastAsia" w:cstheme="minorEastAsia"/>
          <w:color w:val="auto"/>
          <w:sz w:val="24"/>
          <w:szCs w:val="24"/>
          <w:highlight w:val="none"/>
        </w:rPr>
        <w:t>：</w:t>
      </w:r>
    </w:p>
    <w:p w14:paraId="26CED83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p w14:paraId="36970B8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注册地址：河南省郑州市郑东新区学理路十号</w:t>
      </w:r>
    </w:p>
    <w:p w14:paraId="6EC2D0D7">
      <w:pPr>
        <w:spacing w:line="360" w:lineRule="auto"/>
        <w:rPr>
          <w:rFonts w:hint="eastAsia" w:asciiTheme="minorEastAsia" w:hAnsiTheme="minorEastAsia" w:eastAsiaTheme="minorEastAsia" w:cstheme="minorEastAsia"/>
          <w:color w:val="auto"/>
          <w:sz w:val="24"/>
          <w:szCs w:val="24"/>
          <w:highlight w:val="none"/>
        </w:rPr>
      </w:pPr>
    </w:p>
    <w:p w14:paraId="41BD2E1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中标方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3CF057E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乙方统一社会信用代码：</w:t>
      </w:r>
    </w:p>
    <w:p w14:paraId="1124008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w:t>
      </w:r>
    </w:p>
    <w:p w14:paraId="425CB251">
      <w:pPr>
        <w:pStyle w:val="43"/>
        <w:rPr>
          <w:rFonts w:hint="eastAsia"/>
          <w:color w:val="auto"/>
          <w:highlight w:val="none"/>
        </w:rPr>
      </w:pPr>
    </w:p>
    <w:p w14:paraId="6ED9A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第一条 合同订立依据与目的</w:t>
      </w:r>
    </w:p>
    <w:p w14:paraId="5A8D8F81">
      <w:pPr>
        <w:spacing w:line="360" w:lineRule="auto"/>
        <w:ind w:firstLine="240" w:firstLineChars="100"/>
        <w:rPr>
          <w:rFonts w:hint="eastAsia" w:eastAsia="宋体"/>
          <w:color w:val="auto"/>
          <w:highlight w:val="none"/>
          <w:lang w:val="en-US" w:eastAsia="zh-CN"/>
        </w:rPr>
      </w:pP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sz w:val="24"/>
          <w:szCs w:val="24"/>
          <w:highlight w:val="none"/>
        </w:rPr>
        <w:t>本合同依据《中华人民共和国民法典》、《中华人民共和国政府采购法》及相关法律法规，以及甲方组织采购项目的公开招标结果、招标文件、乙方的投标文件及中标通知书订立</w:t>
      </w:r>
      <w:r>
        <w:rPr>
          <w:rFonts w:ascii="宋体" w:hAnsi="宋体" w:eastAsia="宋体" w:cs="宋体"/>
          <w:color w:val="auto"/>
          <w:kern w:val="0"/>
          <w:sz w:val="24"/>
          <w:szCs w:val="24"/>
          <w:highlight w:val="none"/>
          <w:lang w:val="en-US" w:eastAsia="zh-CN" w:bidi="ar"/>
        </w:rPr>
        <w:t>。</w:t>
      </w:r>
    </w:p>
    <w:p w14:paraId="39825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40" w:firstLineChars="100"/>
        <w:jc w:val="left"/>
        <w:rPr>
          <w:color w:val="auto"/>
          <w:sz w:val="24"/>
          <w:szCs w:val="24"/>
          <w:highlight w:val="none"/>
        </w:rPr>
      </w:pPr>
      <w:r>
        <w:rPr>
          <w:rFonts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为明确甲乙双方在 “统一招标、分别签署” 模式下的权利和义务，确保【</w:t>
      </w:r>
      <w:r>
        <w:rPr>
          <w:rFonts w:hint="eastAsia" w:ascii="宋体" w:hAnsi="宋体" w:eastAsia="宋体" w:cs="宋体"/>
          <w:color w:val="auto"/>
          <w:kern w:val="0"/>
          <w:sz w:val="24"/>
          <w:szCs w:val="24"/>
          <w:highlight w:val="none"/>
          <w:lang w:val="en-US" w:eastAsia="zh-CN" w:bidi="ar"/>
        </w:rPr>
        <w:t>河南省生态环境厅职工食堂承包服务项目</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相关</w:t>
      </w:r>
      <w:r>
        <w:rPr>
          <w:rFonts w:ascii="宋体" w:hAnsi="宋体" w:eastAsia="宋体" w:cs="宋体"/>
          <w:color w:val="auto"/>
          <w:kern w:val="0"/>
          <w:sz w:val="24"/>
          <w:szCs w:val="24"/>
          <w:highlight w:val="none"/>
          <w:lang w:val="en-US" w:eastAsia="zh-CN" w:bidi="ar"/>
        </w:rPr>
        <w:t>服务的顺利实施，甲乙双方本着平等、自愿、公平和诚实信用的原则，经友好协商，订立本合同。</w:t>
      </w:r>
    </w:p>
    <w:p w14:paraId="1D98E02A">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2169F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第二条 项目概况</w:t>
      </w:r>
    </w:p>
    <w:p w14:paraId="135133F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2471868">
      <w:pPr>
        <w:numPr>
          <w:ilvl w:val="0"/>
          <w:numId w:val="14"/>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河南省生态环境厅</w:t>
      </w:r>
      <w:r>
        <w:rPr>
          <w:rFonts w:hint="eastAsia" w:asciiTheme="minorEastAsia" w:hAnsiTheme="minorEastAsia" w:eastAsiaTheme="minorEastAsia" w:cstheme="minorEastAsia"/>
          <w:color w:val="auto"/>
          <w:sz w:val="24"/>
          <w:szCs w:val="24"/>
          <w:highlight w:val="none"/>
        </w:rPr>
        <w:t>职工食堂承包服务项目。</w:t>
      </w:r>
    </w:p>
    <w:p w14:paraId="54C7CFD8">
      <w:pPr>
        <w:numPr>
          <w:ilvl w:val="0"/>
          <w:numId w:val="14"/>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项目内容：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04B367C">
      <w:pPr>
        <w:numPr>
          <w:ilvl w:val="0"/>
          <w:numId w:val="14"/>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乙方经公开招标确定为中标人，本协议为总协议，</w:t>
      </w:r>
      <w:r>
        <w:rPr>
          <w:rFonts w:hint="eastAsia" w:asciiTheme="minorEastAsia" w:hAnsiTheme="minorEastAsia" w:eastAsiaTheme="minorEastAsia" w:cstheme="minorEastAsia"/>
          <w:color w:val="auto"/>
          <w:sz w:val="24"/>
          <w:szCs w:val="24"/>
          <w:highlight w:val="none"/>
          <w:lang w:val="en-US" w:eastAsia="zh-CN"/>
        </w:rPr>
        <w:t>河南省生态环境厅为本次采购主体，乙方由河南省生态环境厅机关办公室统一管理。</w:t>
      </w:r>
      <w:r>
        <w:rPr>
          <w:rFonts w:hint="eastAsia" w:asciiTheme="minorEastAsia" w:hAnsiTheme="minorEastAsia" w:eastAsiaTheme="minorEastAsia" w:cstheme="minorEastAsia"/>
          <w:color w:val="auto"/>
          <w:sz w:val="24"/>
          <w:szCs w:val="24"/>
          <w:highlight w:val="none"/>
          <w:lang w:eastAsia="zh-CN"/>
        </w:rPr>
        <w:t>河南省生态环境监测和安全中心及河南省生态环境技术中心（</w:t>
      </w:r>
      <w:r>
        <w:rPr>
          <w:rFonts w:hint="eastAsia" w:asciiTheme="minorEastAsia" w:hAnsiTheme="minorEastAsia" w:eastAsiaTheme="minorEastAsia" w:cstheme="minorEastAsia"/>
          <w:color w:val="auto"/>
          <w:sz w:val="24"/>
          <w:szCs w:val="24"/>
          <w:highlight w:val="none"/>
          <w:lang w:val="en-US" w:eastAsia="zh-CN"/>
        </w:rPr>
        <w:t>分签主体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与乙方分别签订</w:t>
      </w:r>
      <w:r>
        <w:rPr>
          <w:rFonts w:hint="eastAsia" w:asciiTheme="minorEastAsia" w:hAnsiTheme="minorEastAsia" w:eastAsiaTheme="minorEastAsia" w:cstheme="minorEastAsia"/>
          <w:color w:val="auto"/>
          <w:sz w:val="24"/>
          <w:szCs w:val="24"/>
          <w:highlight w:val="none"/>
          <w:lang w:val="en-US" w:eastAsia="zh-CN"/>
        </w:rPr>
        <w:t>分签</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val="en-US" w:eastAsia="zh-CN"/>
        </w:rPr>
        <w:t>并承担</w:t>
      </w:r>
      <w:r>
        <w:rPr>
          <w:rFonts w:hint="eastAsia" w:asciiTheme="minorEastAsia" w:hAnsiTheme="minorEastAsia" w:eastAsiaTheme="minorEastAsia" w:cstheme="minorEastAsia"/>
          <w:color w:val="auto"/>
          <w:sz w:val="24"/>
          <w:szCs w:val="24"/>
          <w:highlight w:val="none"/>
        </w:rPr>
        <w:t>执行。</w:t>
      </w:r>
    </w:p>
    <w:p w14:paraId="375BBF68">
      <w:pPr>
        <w:numPr>
          <w:ilvl w:val="0"/>
          <w:numId w:val="14"/>
        </w:numPr>
        <w:spacing w:line="360" w:lineRule="auto"/>
        <w:ind w:left="0" w:leftChars="0" w:firstLine="400" w:firstLineChars="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乙方</w:t>
      </w:r>
      <w:r>
        <w:rPr>
          <w:rFonts w:hint="eastAsia" w:asciiTheme="minorEastAsia" w:hAnsiTheme="minorEastAsia" w:eastAsiaTheme="minorEastAsia" w:cstheme="minorEastAsia"/>
          <w:color w:val="auto"/>
          <w:sz w:val="24"/>
          <w:szCs w:val="24"/>
          <w:highlight w:val="none"/>
        </w:rPr>
        <w:t>承包期间必须严格执行</w:t>
      </w:r>
      <w:r>
        <w:rPr>
          <w:rFonts w:hint="eastAsia" w:asciiTheme="minorEastAsia" w:hAnsiTheme="minorEastAsia" w:eastAsiaTheme="minorEastAsia" w:cstheme="minorEastAsia"/>
          <w:color w:val="auto"/>
          <w:sz w:val="24"/>
          <w:szCs w:val="24"/>
          <w:highlight w:val="none"/>
          <w:lang w:val="en-US" w:eastAsia="zh-CN"/>
        </w:rPr>
        <w:t>河南省生态环境厅</w:t>
      </w:r>
      <w:r>
        <w:rPr>
          <w:rFonts w:hint="eastAsia" w:asciiTheme="minorEastAsia" w:hAnsiTheme="minorEastAsia" w:eastAsiaTheme="minorEastAsia" w:cstheme="minorEastAsia"/>
          <w:color w:val="auto"/>
          <w:sz w:val="24"/>
          <w:szCs w:val="24"/>
          <w:highlight w:val="none"/>
        </w:rPr>
        <w:t>职工食堂的相关规章制度、必须满足职工的用餐需求，</w:t>
      </w:r>
      <w:r>
        <w:rPr>
          <w:rFonts w:hint="eastAsia"/>
          <w:color w:val="auto"/>
          <w:sz w:val="24"/>
          <w:szCs w:val="24"/>
          <w:highlight w:val="none"/>
          <w:lang w:val="en-US" w:eastAsia="zh-CN"/>
        </w:rPr>
        <w:t>在承包期内</w:t>
      </w:r>
      <w:r>
        <w:rPr>
          <w:rFonts w:hint="eastAsia" w:asciiTheme="minorEastAsia" w:hAnsiTheme="minorEastAsia" w:eastAsiaTheme="minorEastAsia" w:cstheme="minorEastAsia"/>
          <w:color w:val="auto"/>
          <w:sz w:val="24"/>
          <w:szCs w:val="24"/>
          <w:highlight w:val="none"/>
        </w:rPr>
        <w:t>不得对外营业。</w:t>
      </w:r>
    </w:p>
    <w:p w14:paraId="061BAA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eastAsiaTheme="minorEastAsia" w:cstheme="minorEastAsia"/>
          <w:b/>
          <w:bCs/>
          <w:color w:val="auto"/>
          <w:sz w:val="24"/>
          <w:szCs w:val="24"/>
          <w:highlight w:val="none"/>
          <w:lang w:val="en-US" w:eastAsia="zh-CN"/>
        </w:rPr>
        <w:t>合同金额</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分签原则和</w:t>
      </w:r>
      <w:r>
        <w:rPr>
          <w:rFonts w:hint="eastAsia" w:asciiTheme="minorEastAsia" w:hAnsiTheme="minorEastAsia" w:eastAsiaTheme="minorEastAsia" w:cstheme="minorEastAsia"/>
          <w:b/>
          <w:bCs/>
          <w:color w:val="auto"/>
          <w:sz w:val="24"/>
          <w:szCs w:val="24"/>
          <w:highlight w:val="none"/>
        </w:rPr>
        <w:t>付款方式</w:t>
      </w:r>
    </w:p>
    <w:p w14:paraId="63EF26E1">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本项目合同</w:t>
      </w:r>
      <w:r>
        <w:rPr>
          <w:rFonts w:hint="eastAsia" w:asciiTheme="minorEastAsia" w:hAnsiTheme="minorEastAsia" w:eastAsiaTheme="minorEastAsia" w:cstheme="minorEastAsia"/>
          <w:color w:val="auto"/>
          <w:sz w:val="24"/>
          <w:szCs w:val="24"/>
          <w:highlight w:val="none"/>
          <w:lang w:val="en-US" w:eastAsia="zh-CN"/>
        </w:rPr>
        <w:t>总价</w:t>
      </w:r>
      <w:r>
        <w:rPr>
          <w:rFonts w:hint="eastAsia" w:asciiTheme="minorEastAsia" w:hAnsiTheme="minorEastAsia" w:eastAsiaTheme="minorEastAsia" w:cstheme="minorEastAsia"/>
          <w:color w:val="auto"/>
          <w:sz w:val="24"/>
          <w:szCs w:val="24"/>
          <w:highlight w:val="none"/>
        </w:rPr>
        <w:t>（中标价）为大写：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元（含税），小写：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p w14:paraId="5D39EDEE">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其中</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（采购主体）</w:t>
      </w:r>
      <w:r>
        <w:rPr>
          <w:rFonts w:hint="eastAsia" w:asciiTheme="minorEastAsia" w:hAnsiTheme="minorEastAsia" w:eastAsiaTheme="minorEastAsia" w:cstheme="minorEastAsia"/>
          <w:color w:val="auto"/>
          <w:sz w:val="24"/>
          <w:szCs w:val="24"/>
          <w:highlight w:val="none"/>
        </w:rPr>
        <w:t>承担合同总金额的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ascii="Segoe UI Emoji" w:hAnsi="Segoe UI Emoji" w:eastAsia="Segoe UI Emoji" w:cs="Segoe UI Emoji"/>
          <w:i w:val="0"/>
          <w:iCs w:val="0"/>
          <w:caps w:val="0"/>
          <w:color w:val="auto"/>
          <w:spacing w:val="0"/>
          <w:sz w:val="24"/>
          <w:szCs w:val="24"/>
          <w:highlight w:val="none"/>
        </w:rPr>
        <w:t xml:space="preserve">即人民币 </w:t>
      </w:r>
      <w:r>
        <w:rPr>
          <w:rFonts w:hint="eastAsia" w:ascii="Segoe UI Emoji" w:hAnsi="Segoe UI Emoji" w:eastAsia="宋体" w:cs="Segoe UI Emoji"/>
          <w:i w:val="0"/>
          <w:iCs w:val="0"/>
          <w:caps w:val="0"/>
          <w:color w:val="auto"/>
          <w:spacing w:val="0"/>
          <w:sz w:val="24"/>
          <w:szCs w:val="24"/>
          <w:highlight w:val="none"/>
          <w:u w:val="single"/>
          <w:lang w:val="en-US" w:eastAsia="zh-CN"/>
        </w:rPr>
        <w:t xml:space="preserve">     </w:t>
      </w:r>
      <w:r>
        <w:rPr>
          <w:rFonts w:hint="eastAsia" w:ascii="Segoe UI Emoji" w:hAnsi="Segoe UI Emoji" w:cs="Segoe UI Emoji"/>
          <w:i w:val="0"/>
          <w:iCs w:val="0"/>
          <w:caps w:val="0"/>
          <w:color w:val="auto"/>
          <w:spacing w:val="0"/>
          <w:sz w:val="24"/>
          <w:szCs w:val="24"/>
          <w:highlight w:val="none"/>
          <w:u w:val="single"/>
          <w:lang w:val="en-US" w:eastAsia="zh-CN"/>
        </w:rPr>
        <w:t xml:space="preserve">  </w:t>
      </w:r>
      <w:r>
        <w:rPr>
          <w:rFonts w:hint="eastAsia" w:ascii="Segoe UI Emoji" w:hAnsi="Segoe UI Emoji" w:eastAsia="宋体" w:cs="Segoe UI Emoji"/>
          <w:i w:val="0"/>
          <w:iCs w:val="0"/>
          <w:caps w:val="0"/>
          <w:color w:val="auto"/>
          <w:spacing w:val="0"/>
          <w:sz w:val="24"/>
          <w:szCs w:val="24"/>
          <w:highlight w:val="none"/>
          <w:u w:val="single"/>
          <w:lang w:val="en-US" w:eastAsia="zh-CN"/>
        </w:rPr>
        <w:t xml:space="preserve"> </w:t>
      </w:r>
      <w:r>
        <w:rPr>
          <w:rFonts w:hint="eastAsia" w:ascii="Segoe UI Emoji" w:hAnsi="Segoe UI Emoji" w:eastAsia="宋体" w:cs="Segoe UI Emoji"/>
          <w:i w:val="0"/>
          <w:iCs w:val="0"/>
          <w:caps w:val="0"/>
          <w:color w:val="auto"/>
          <w:spacing w:val="0"/>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rPr>
        <w:t>大写（含税）</w:t>
      </w:r>
      <w:r>
        <w:rPr>
          <w:rFonts w:hint="eastAsia" w:asciiTheme="minorEastAsia" w:hAnsiTheme="minorEastAsia" w:eastAsiaTheme="minorEastAsia" w:cstheme="minorEastAsia"/>
          <w:color w:val="auto"/>
          <w:sz w:val="24"/>
          <w:szCs w:val="24"/>
          <w:highlight w:val="none"/>
          <w:lang w:eastAsia="zh-CN"/>
        </w:rPr>
        <w:t>；</w:t>
      </w:r>
      <w:r>
        <w:rPr>
          <w:rFonts w:ascii="Segoe UI Emoji" w:hAnsi="Segoe UI Emoji" w:eastAsia="Segoe UI Emoji" w:cs="Segoe UI Emoji"/>
          <w:i w:val="0"/>
          <w:iCs w:val="0"/>
          <w:caps w:val="0"/>
          <w:color w:val="auto"/>
          <w:spacing w:val="0"/>
          <w:sz w:val="24"/>
          <w:szCs w:val="24"/>
          <w:highlight w:val="none"/>
        </w:rPr>
        <w:t>人民币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元小写</w:t>
      </w:r>
      <w:r>
        <w:rPr>
          <w:rFonts w:hint="eastAsia" w:asciiTheme="minorEastAsia" w:hAnsiTheme="minorEastAsia" w:eastAsiaTheme="minorEastAsia" w:cstheme="minorEastAsia"/>
          <w:color w:val="auto"/>
          <w:sz w:val="24"/>
          <w:szCs w:val="24"/>
          <w:highlight w:val="none"/>
          <w:lang w:val="en-US" w:eastAsia="zh-CN"/>
        </w:rPr>
        <w:t xml:space="preserve">  </w:t>
      </w:r>
    </w:p>
    <w:p w14:paraId="4122E944">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 xml:space="preserve">    2.</w:t>
      </w:r>
      <w:r>
        <w:rPr>
          <w:rFonts w:hint="eastAsia" w:asciiTheme="minorEastAsia" w:hAnsiTheme="minorEastAsia" w:eastAsiaTheme="minorEastAsia" w:cstheme="minorEastAsia"/>
          <w:b w:val="0"/>
          <w:bCs w:val="0"/>
          <w:color w:val="auto"/>
          <w:sz w:val="24"/>
          <w:szCs w:val="24"/>
          <w:highlight w:val="none"/>
        </w:rPr>
        <w:t>分签原则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甲方将根据实际需求，组织下属单位或相关方（分签主体）与乙方分别签订具体的分签合同。分签合同的服务内容、标准不得低于本合同及附件的约定。</w:t>
      </w:r>
    </w:p>
    <w:p w14:paraId="4BB5571D">
      <w:pPr>
        <w:numPr>
          <w:ilvl w:val="0"/>
          <w:numId w:val="15"/>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w:t>
      </w:r>
      <w:r>
        <w:rPr>
          <w:rFonts w:hint="eastAsia" w:asciiTheme="minorEastAsia" w:hAnsiTheme="minorEastAsia" w:eastAsiaTheme="minorEastAsia" w:cstheme="minorEastAsia"/>
          <w:color w:val="auto"/>
          <w:sz w:val="24"/>
          <w:szCs w:val="24"/>
          <w:highlight w:val="none"/>
          <w:lang w:val="en-US" w:eastAsia="zh-CN"/>
        </w:rPr>
        <w:t>方式</w:t>
      </w:r>
      <w:r>
        <w:rPr>
          <w:rFonts w:hint="eastAsia" w:asciiTheme="minorEastAsia" w:hAnsiTheme="minorEastAsia" w:eastAsiaTheme="minorEastAsia" w:cstheme="minorEastAsia"/>
          <w:color w:val="auto"/>
          <w:sz w:val="24"/>
          <w:szCs w:val="24"/>
          <w:highlight w:val="none"/>
        </w:rPr>
        <w:t xml:space="preserve">为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96165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条 服务期限</w:t>
      </w:r>
    </w:p>
    <w:p w14:paraId="76993CB0">
      <w:pPr>
        <w:numPr>
          <w:ilvl w:val="0"/>
          <w:numId w:val="0"/>
        </w:numPr>
        <w:spacing w:line="360" w:lineRule="auto"/>
        <w:ind w:left="42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年，从合同签订后进场服务的第</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日开始起算。</w:t>
      </w:r>
    </w:p>
    <w:p w14:paraId="4E336D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条 甲方权利、义务、责任</w:t>
      </w:r>
    </w:p>
    <w:p w14:paraId="198E83AC">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ascii="Segoe UI Emoji" w:hAnsi="Segoe UI Emoji" w:eastAsia="Segoe UI Emoji" w:cs="Segoe UI Emoji"/>
          <w:i w:val="0"/>
          <w:iCs w:val="0"/>
          <w:caps w:val="0"/>
          <w:color w:val="auto"/>
          <w:spacing w:val="0"/>
          <w:sz w:val="24"/>
          <w:szCs w:val="24"/>
          <w:highlight w:val="none"/>
        </w:rPr>
        <w:t>作为统一采购方，负责组织招标、合同的总体管理、协调各方关系，并对乙方的服务质量进行监督、检查和考核。</w:t>
      </w:r>
    </w:p>
    <w:p w14:paraId="3623DE05">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ascii="Segoe UI Emoji" w:hAnsi="Segoe UI Emoji" w:eastAsia="Segoe UI Emoji" w:cs="Segoe UI Emoji"/>
          <w:i w:val="0"/>
          <w:iCs w:val="0"/>
          <w:caps w:val="0"/>
          <w:color w:val="auto"/>
          <w:spacing w:val="0"/>
          <w:sz w:val="24"/>
          <w:szCs w:val="24"/>
          <w:highlight w:val="none"/>
        </w:rPr>
        <w:t>甲方有权对乙方提供的劳务服务进行日常监督和管理，提出改进意见。</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u w:val="single"/>
        </w:rPr>
        <w:t xml:space="preserve"> 人员数量、卫生、安全、治安、消防、财务管理等。若乙方人数不足</w:t>
      </w:r>
      <w:r>
        <w:rPr>
          <w:rFonts w:hint="eastAsia" w:asciiTheme="minorEastAsia" w:hAnsiTheme="minorEastAsia" w:eastAsiaTheme="minorEastAsia" w:cstheme="minorEastAsia"/>
          <w:color w:val="auto"/>
          <w:sz w:val="24"/>
          <w:szCs w:val="24"/>
          <w:highlight w:val="none"/>
          <w:u w:val="single"/>
          <w:lang w:val="en-US" w:eastAsia="zh-CN"/>
        </w:rPr>
        <w:t>等</w:t>
      </w:r>
      <w:r>
        <w:rPr>
          <w:rFonts w:hint="eastAsia" w:asciiTheme="minorEastAsia" w:hAnsiTheme="minorEastAsia" w:eastAsiaTheme="minorEastAsia" w:cstheme="minorEastAsia"/>
          <w:color w:val="auto"/>
          <w:sz w:val="24"/>
          <w:szCs w:val="24"/>
          <w:highlight w:val="none"/>
          <w:u w:val="single"/>
        </w:rPr>
        <w:t>，甲方有权按比例扣除相应费用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，若因乙方原因发生人身财产安全、食品安全和消防安全等事故，甲方有权追究乙方的责任，乙方负责承担一切法律责任。</w:t>
      </w:r>
    </w:p>
    <w:p w14:paraId="06F132E6">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因乙方食堂工作人员失职影响到甲方的正常工作（不可抗力原因除外），甲方有权追究乙方的责任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若因人为故意不配合，耽误甲方正常工作，甲方有权终止合同。</w:t>
      </w:r>
    </w:p>
    <w:p w14:paraId="08D171C0">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甲方可根据需求决定，是否要求乙方提供就餐保障，相应结算方式按照每月末实际发生就餐人次及本级相应标准进行结算就餐服务费。</w:t>
      </w:r>
    </w:p>
    <w:p w14:paraId="5BA3F3E0">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甲方有权对购回的原材料数量、价格进行审查监管，对饭菜质量、数量、卫生、服务等情况进行监督检查，如乙方未达到双方约定标准，甲方有权要求乙方进行 2 倍补偿。甲方每月对菜品及服务进行考评，考评成绩、日常检查、职工满意度调查，与当月外包</w:t>
      </w:r>
      <w:r>
        <w:rPr>
          <w:rFonts w:hint="eastAsia" w:asciiTheme="minorEastAsia" w:hAnsiTheme="minorEastAsia" w:eastAsiaTheme="minorEastAsia" w:cstheme="minorEastAsia"/>
          <w:color w:val="auto"/>
          <w:sz w:val="24"/>
          <w:szCs w:val="24"/>
          <w:highlight w:val="none"/>
          <w:lang w:val="en-US" w:eastAsia="zh-CN"/>
        </w:rPr>
        <w:t>固定劳务费</w:t>
      </w:r>
      <w:r>
        <w:rPr>
          <w:rFonts w:hint="eastAsia" w:asciiTheme="minorEastAsia" w:hAnsiTheme="minorEastAsia" w:eastAsiaTheme="minorEastAsia" w:cstheme="minorEastAsia"/>
          <w:color w:val="auto"/>
          <w:sz w:val="24"/>
          <w:szCs w:val="24"/>
          <w:highlight w:val="none"/>
        </w:rPr>
        <w:t>用挂钩。</w:t>
      </w:r>
    </w:p>
    <w:p w14:paraId="58080D40">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因乙方（不可抗力原因除外）原因造成误餐或停餐，视为乙方存在误餐违约，按照第六条第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项处理。</w:t>
      </w:r>
    </w:p>
    <w:p w14:paraId="22076A2F">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甲方根据工作安排有权要求乙方在重大节假日或特殊情况下给特定人员提供用餐及服务。</w:t>
      </w:r>
    </w:p>
    <w:p w14:paraId="538A2DF5">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违约或者因乙方工作人员出现不良行为，致使甲方认为无法信任乙方继续管理餐厅的，甲方有权提出终止本协议，乙方应退还未履行的管理费用，并承担违约责任，支付合同总金额10%的违约金。造成甲方损失的，乙方应承担赔偿责任。</w:t>
      </w:r>
    </w:p>
    <w:p w14:paraId="3B1702D5">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甲方机关餐厅配备管理人员对餐厅实施监督管理，对食材出入库严格把关，每次出入库需签字确认后予以使用。</w:t>
      </w:r>
    </w:p>
    <w:p w14:paraId="56184383">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甲方提供厨房及配套设备。进场前双方将设备进行登记造册，在交接单签字确认后交给乙方。合同期满后乙方按照清单数额将设备交还甲方。</w:t>
      </w:r>
    </w:p>
    <w:p w14:paraId="6740D221">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根据工作需要补充设备设施等物品，并承担单次500元以上的设备设施维修。单次维修维护500元以下的等零星费用由乙方承担，严禁乙方积压、拖</w:t>
      </w:r>
      <w:r>
        <w:rPr>
          <w:rFonts w:hint="eastAsia"/>
          <w:color w:val="auto"/>
          <w:sz w:val="24"/>
          <w:szCs w:val="24"/>
          <w:highlight w:val="none"/>
          <w:lang w:val="en-US" w:eastAsia="zh-CN"/>
        </w:rPr>
        <w:t>延</w:t>
      </w:r>
      <w:r>
        <w:rPr>
          <w:rFonts w:hint="eastAsia" w:asciiTheme="minorEastAsia" w:hAnsiTheme="minorEastAsia" w:eastAsiaTheme="minorEastAsia" w:cstheme="minorEastAsia"/>
          <w:color w:val="auto"/>
          <w:sz w:val="24"/>
          <w:szCs w:val="24"/>
          <w:highlight w:val="none"/>
          <w:lang w:val="en-US" w:eastAsia="zh-CN"/>
        </w:rPr>
        <w:t>等。甲方日常检查如有发现此类情况，在当月应付款项中扣除相应维修费用并对乙方进行单次200元处罚</w:t>
      </w:r>
    </w:p>
    <w:p w14:paraId="4B8F5CCA">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甲方可</w:t>
      </w:r>
      <w:r>
        <w:rPr>
          <w:rFonts w:hint="eastAsia" w:asciiTheme="minorEastAsia" w:hAnsiTheme="minorEastAsia" w:eastAsiaTheme="minorEastAsia" w:cstheme="minorEastAsia"/>
          <w:color w:val="auto"/>
          <w:sz w:val="24"/>
          <w:szCs w:val="24"/>
          <w:highlight w:val="none"/>
          <w:lang w:eastAsia="zh-CN"/>
        </w:rPr>
        <w:t>在双方协商一致后</w:t>
      </w:r>
      <w:r>
        <w:rPr>
          <w:rFonts w:hint="eastAsia" w:asciiTheme="minorEastAsia" w:hAnsiTheme="minorEastAsia" w:eastAsiaTheme="minorEastAsia" w:cstheme="minorEastAsia"/>
          <w:color w:val="auto"/>
          <w:sz w:val="24"/>
          <w:szCs w:val="24"/>
          <w:highlight w:val="none"/>
        </w:rPr>
        <w:t>视情增加服务项目及收费项目。</w:t>
      </w:r>
    </w:p>
    <w:p w14:paraId="3F7D94D8">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甲方应畅通乙方工作外部环境，包括员工出入证、车辆出入证等。</w:t>
      </w:r>
    </w:p>
    <w:p w14:paraId="1918819B">
      <w:pPr>
        <w:numPr>
          <w:ilvl w:val="0"/>
          <w:numId w:val="16"/>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甲方因机构改革等原因，发生变化不能正常履行合同时，甲方不负法律责任。</w:t>
      </w:r>
    </w:p>
    <w:p w14:paraId="6EAB6036">
      <w:pPr>
        <w:numPr>
          <w:ilvl w:val="0"/>
          <w:numId w:val="16"/>
        </w:numPr>
        <w:spacing w:line="360" w:lineRule="auto"/>
        <w:ind w:left="0" w:leftChars="0" w:firstLine="400" w:firstLineChars="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甲方要求拟派乙方工作人员的名单详见附件，合同期内人员固定不变。未经甲方书面同意，乙方不得更换、调岗或安排他人顶岗；擅自更换的，甲方有权拒付费用并解除合同，乙方承担违约责任。</w:t>
      </w:r>
    </w:p>
    <w:p w14:paraId="3606A4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条 乙方权利、义务责任</w:t>
      </w:r>
    </w:p>
    <w:p w14:paraId="12B12288">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有权自主聘用，调用食堂工作人员，人数不低于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人。</w:t>
      </w:r>
    </w:p>
    <w:p w14:paraId="13ABAF73">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违约乙方有权提出终止本协议，并可依据法律相关规定处置。甲方违约，给乙方造成经济损失的，或者因甲方的其他行为，致使乙方认为无法信任甲方的，乙方有权提出终止本协议，甲方应支付未支付的管理费用，并承担违约责任，造成乙方损失的，甲方应承担赔偿责任。</w:t>
      </w:r>
    </w:p>
    <w:p w14:paraId="31219C5D">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做好食品安全、人身财产安全、消防安全、设备安全、水电气安全工作，特别是人身财产安全、食品安全和消防安全等。及时检查和分析食堂的安全状况，严格按照安全操作流程和电气设备操作规程办事。</w:t>
      </w:r>
    </w:p>
    <w:p w14:paraId="1A8D35CB">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经营场所按相关规定定期进行有效的防鼠灭蝇及卫生消杀工作。</w:t>
      </w:r>
    </w:p>
    <w:p w14:paraId="42132F08">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严格执行食品安全、食品留样、食品储存、食品加工等食堂管理制度，严格按照食堂操作规程实施。</w:t>
      </w:r>
    </w:p>
    <w:p w14:paraId="15F8C96B">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乙方应安排专人妥善保管各种食材，确保食物的质量，严禁使用变质变霉及过期的食物，保证食品安全卫生达标。因乙方（含工作人员）原因造成甲方就餐人员身体健康出现问题的，乙方应承担全部责任。</w:t>
      </w:r>
    </w:p>
    <w:p w14:paraId="6B978C61">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乙方应定期对使用设备及用品进行安全检查，发现事故隐患及时对有关设备进行报修。</w:t>
      </w:r>
    </w:p>
    <w:p w14:paraId="21683707">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乙方应加强对员工工作、休息等时间内的人身财产安全、卫生、消防、宿舍等管理，若发生人身财产事故和损失，由乙方承担全部责任，与甲方无关。</w:t>
      </w:r>
    </w:p>
    <w:p w14:paraId="09B48BE0">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乙方须加强对工作人员服务、设备安全操作的培训与管理，须穿着统一工作服装，并配置必要卫生防护用品，若发生人身财产事故和损失，由乙方承担全部责任，与甲方无关。</w:t>
      </w:r>
    </w:p>
    <w:p w14:paraId="62116C45">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乙方须按甲方规定时间作息，准时开餐，开餐时间由甲方规定，如有变动应事先通知乙方。</w:t>
      </w:r>
    </w:p>
    <w:p w14:paraId="38536EAB">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乙方厨房工作人员必须遵守甲方规章制度，不得随意出入甲方禁止区域，如违反者，可依甲方之规定予以处罚。</w:t>
      </w:r>
    </w:p>
    <w:p w14:paraId="3C573D31">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对甲方厨房现有设备及餐具，乙方应严格管理，合理使用，妥善维护和保管，不得人为损坏和丢失，否则原价赔偿。</w:t>
      </w:r>
    </w:p>
    <w:p w14:paraId="148B30F8">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乙方在运作期间，食堂工作人员的工资、福利、公司管理费、租房费用，综合税费，500元以下设备维修费用等均由乙方负责</w:t>
      </w:r>
      <w:r>
        <w:rPr>
          <w:rFonts w:hint="eastAsia" w:asciiTheme="minorEastAsia" w:hAnsiTheme="minorEastAsia" w:eastAsiaTheme="minorEastAsia" w:cstheme="minorEastAsia"/>
          <w:color w:val="auto"/>
          <w:sz w:val="24"/>
          <w:szCs w:val="24"/>
          <w:highlight w:val="none"/>
          <w:lang w:val="en-US" w:eastAsia="zh-CN"/>
        </w:rPr>
        <w:t>并接受监督及其他监督管理</w:t>
      </w:r>
      <w:r>
        <w:rPr>
          <w:rFonts w:hint="eastAsia" w:asciiTheme="minorEastAsia" w:hAnsiTheme="minorEastAsia" w:eastAsiaTheme="minorEastAsia" w:cstheme="minorEastAsia"/>
          <w:color w:val="auto"/>
          <w:sz w:val="24"/>
          <w:szCs w:val="24"/>
          <w:highlight w:val="none"/>
        </w:rPr>
        <w:t>。</w:t>
      </w:r>
    </w:p>
    <w:p w14:paraId="00FFC9A5">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接受和配合相关监督管理部门对食堂的食品安全进行监督检查，如实提供有关食品安全的管理情况，对食品安全监督检查中发现的问题进行整改。</w:t>
      </w:r>
    </w:p>
    <w:p w14:paraId="42D88946">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负责拟订从业人员的年度培训计划；协助组织从业人员进行食品安全法律法规、食品安全知识培训和考核。</w:t>
      </w:r>
    </w:p>
    <w:p w14:paraId="5D22C2B8">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负责拟订食品安全管理制度及食品粗加工、切配、烹饪、备餐供餐、专间、食品库房、餐具清洗消毒和保洁等岗位责任制度，并对执行情况进行督促和检查。</w:t>
      </w:r>
    </w:p>
    <w:p w14:paraId="4272D830">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协助食品原料采购，负责验收、储存及加工制作、销售等过程中的食品安全状况并记录，拟订检查计划、项目，落实检查时间，对检查中发现不符合食品安全要求的行为及时制止并提出处理意见。</w:t>
      </w:r>
    </w:p>
    <w:p w14:paraId="448C167D">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负责从业人员的政治面貌审查及健康管理，必须持证上岗，健康检查情况报甲方备案，禁止招收患有有碍食品安全和病症的人员。乙方雇佣服务人员因身体原因或在工作时操作不当造成的人身伤亡与甲方无关。</w:t>
      </w:r>
    </w:p>
    <w:p w14:paraId="5104030D">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期组织开展食堂消防安全大检查，及时消除消防安全隐患，认真分析研究食堂消防工作中存在的突出问题和薄弱环节，深入检查工作中存在的不足与差距，采取有力措施，有效预防火灾事故的发生，因乙方工作人员失误造成火灾事故的，乙方承担全部责任。</w:t>
      </w:r>
    </w:p>
    <w:p w14:paraId="63126B12">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按照保密管理规定与甲方签订保密协议，根据协议内容做好保密相关工作。</w:t>
      </w:r>
    </w:p>
    <w:p w14:paraId="5737A72F">
      <w:pPr>
        <w:numPr>
          <w:ilvl w:val="0"/>
          <w:numId w:val="17"/>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本合同未明确但本项目招投标文件规定乙方应履行的其他义务。</w:t>
      </w:r>
    </w:p>
    <w:p w14:paraId="66FD94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条 违约责任</w:t>
      </w:r>
    </w:p>
    <w:p w14:paraId="772928F6">
      <w:pPr>
        <w:numPr>
          <w:ilvl w:val="0"/>
          <w:numId w:val="18"/>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在本协议有效期内，除本合同另有约定外，双方均不得无故单方面终止合同的行为，因任一方的原因造成协议无法履行的，应对因此造成损失的一方承担赔偿责任。</w:t>
      </w:r>
    </w:p>
    <w:p w14:paraId="657DADA2">
      <w:pPr>
        <w:numPr>
          <w:ilvl w:val="0"/>
          <w:numId w:val="18"/>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乙方未能合理安排好食堂用工人员工作而导致严重延误甲方员工用餐，每延误一次应向甲方支付违约金</w:t>
      </w:r>
      <w:r>
        <w:rPr>
          <w:rFonts w:hint="eastAsia" w:asciiTheme="minorEastAsia" w:hAnsiTheme="minorEastAsia" w:eastAsiaTheme="minorEastAsia" w:cstheme="minorEastAsia"/>
          <w:color w:val="auto"/>
          <w:sz w:val="24"/>
          <w:szCs w:val="24"/>
          <w:highlight w:val="none"/>
          <w:u w:val="single"/>
        </w:rPr>
        <w:t xml:space="preserve"> 1000 </w:t>
      </w:r>
      <w:r>
        <w:rPr>
          <w:rFonts w:hint="eastAsia" w:asciiTheme="minorEastAsia" w:hAnsiTheme="minorEastAsia" w:eastAsiaTheme="minorEastAsia" w:cstheme="minorEastAsia"/>
          <w:color w:val="auto"/>
          <w:sz w:val="24"/>
          <w:szCs w:val="24"/>
          <w:highlight w:val="none"/>
        </w:rPr>
        <w:t>元。乙方造成食品安全事故、消防事故或者其他生产事故的，视为乙方重大违约，应向甲方承担合同总金额20%的违约金。</w:t>
      </w:r>
    </w:p>
    <w:p w14:paraId="66D8B2D9">
      <w:pPr>
        <w:numPr>
          <w:ilvl w:val="0"/>
          <w:numId w:val="18"/>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如乙方提供虚假资质证明材料，不具备履行本合同的合法资质的，甲方有权立即解除合同，并视为乙方重大违约，应向甲方承担合同总金额 20%的违约金，给甲方造成损失的，乙方应承担赔偿责任。</w:t>
      </w:r>
    </w:p>
    <w:p w14:paraId="7A601040">
      <w:pPr>
        <w:numPr>
          <w:ilvl w:val="0"/>
          <w:numId w:val="18"/>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乙方违反第五条任意一项约定的，应向甲方支付合同总金额 10%的违约金，甲方有权单方解除本合同，如违约金不足以弥补甲方因此遭受的经济损失，乙方还应负责赔偿。</w:t>
      </w:r>
    </w:p>
    <w:p w14:paraId="22187A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条 争议解决</w:t>
      </w:r>
    </w:p>
    <w:p w14:paraId="6CC44C6E">
      <w:pPr>
        <w:numPr>
          <w:ilvl w:val="0"/>
          <w:numId w:val="19"/>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凡因本合同的解释、效力及履行所发生的一切争议，双方应通过友好协商解决，协商不成的，双方均可向甲方住所地人民法院提起诉讼。</w:t>
      </w:r>
    </w:p>
    <w:p w14:paraId="69B2415B">
      <w:pPr>
        <w:numPr>
          <w:ilvl w:val="0"/>
          <w:numId w:val="19"/>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因乙方原因导致诉讼而产生的所有费用（包括但不限于诉讼费、财产保全费、差旅费、执行费、评估费、拍卖费、公证费、送达费、公告费、律师费）和其他所有应付费用等由乙方承担。</w:t>
      </w:r>
    </w:p>
    <w:p w14:paraId="1944FDC1">
      <w:pPr>
        <w:numPr>
          <w:ilvl w:val="0"/>
          <w:numId w:val="19"/>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本协议未尽事宜，经双方协商后，可以书面形式补充，且因此形成的补充文件与本协议构成不可分割的组成部分。</w:t>
      </w:r>
    </w:p>
    <w:p w14:paraId="65A66E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eastAsiaTheme="minorEastAsia" w:cstheme="minorEastAsia"/>
          <w:b/>
          <w:bCs/>
          <w:color w:val="auto"/>
          <w:sz w:val="24"/>
          <w:szCs w:val="24"/>
          <w:highlight w:val="none"/>
          <w:lang w:val="en-US" w:eastAsia="zh-CN"/>
        </w:rPr>
        <w:t>统一合同</w:t>
      </w:r>
      <w:r>
        <w:rPr>
          <w:rFonts w:hint="eastAsia" w:asciiTheme="minorEastAsia" w:hAnsiTheme="minorEastAsia" w:eastAsiaTheme="minorEastAsia" w:cstheme="minorEastAsia"/>
          <w:b/>
          <w:bCs/>
          <w:color w:val="auto"/>
          <w:sz w:val="24"/>
          <w:szCs w:val="24"/>
          <w:highlight w:val="none"/>
        </w:rPr>
        <w:t>与分</w:t>
      </w:r>
      <w:r>
        <w:rPr>
          <w:rFonts w:hint="eastAsia" w:asciiTheme="minorEastAsia" w:hAnsiTheme="minorEastAsia" w:eastAsiaTheme="minorEastAsia" w:cstheme="minorEastAsia"/>
          <w:b/>
          <w:bCs/>
          <w:color w:val="auto"/>
          <w:sz w:val="24"/>
          <w:szCs w:val="24"/>
          <w:highlight w:val="none"/>
          <w:lang w:val="en-US" w:eastAsia="zh-CN"/>
        </w:rPr>
        <w:t>签</w:t>
      </w:r>
      <w:r>
        <w:rPr>
          <w:rFonts w:hint="eastAsia" w:asciiTheme="minorEastAsia" w:hAnsiTheme="minorEastAsia" w:eastAsiaTheme="minorEastAsia" w:cstheme="minorEastAsia"/>
          <w:b/>
          <w:bCs/>
          <w:color w:val="auto"/>
          <w:sz w:val="24"/>
          <w:szCs w:val="24"/>
          <w:highlight w:val="none"/>
        </w:rPr>
        <w:t>合同关系</w:t>
      </w:r>
    </w:p>
    <w:p w14:paraId="323372C9">
      <w:pPr>
        <w:numPr>
          <w:ilvl w:val="0"/>
          <w:numId w:val="20"/>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合同协议</w:t>
      </w:r>
      <w:r>
        <w:rPr>
          <w:rFonts w:hint="eastAsia" w:asciiTheme="minorEastAsia" w:hAnsiTheme="minorEastAsia" w:eastAsiaTheme="minorEastAsia" w:cstheme="minorEastAsia"/>
          <w:color w:val="auto"/>
          <w:sz w:val="24"/>
          <w:szCs w:val="24"/>
          <w:highlight w:val="none"/>
        </w:rPr>
        <w:t>为总</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，各分签机构与乙方签订的《分</w:t>
      </w:r>
      <w:r>
        <w:rPr>
          <w:rFonts w:hint="eastAsia" w:asciiTheme="minorEastAsia" w:hAnsiTheme="minorEastAsia" w:eastAsiaTheme="minorEastAsia" w:cstheme="minorEastAsia"/>
          <w:color w:val="auto"/>
          <w:sz w:val="24"/>
          <w:szCs w:val="24"/>
          <w:highlight w:val="none"/>
          <w:lang w:val="en-US" w:eastAsia="zh-CN"/>
        </w:rPr>
        <w:t>签</w:t>
      </w:r>
      <w:r>
        <w:rPr>
          <w:rFonts w:hint="eastAsia" w:asciiTheme="minorEastAsia" w:hAnsiTheme="minorEastAsia" w:eastAsiaTheme="minorEastAsia" w:cstheme="minorEastAsia"/>
          <w:color w:val="auto"/>
          <w:sz w:val="24"/>
          <w:szCs w:val="24"/>
          <w:highlight w:val="none"/>
        </w:rPr>
        <w:t>合同》均受本协议约束。</w:t>
      </w:r>
    </w:p>
    <w:p w14:paraId="46AA5AAC">
      <w:pPr>
        <w:numPr>
          <w:ilvl w:val="0"/>
          <w:numId w:val="20"/>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color w:val="auto"/>
          <w:highlight w:val="none"/>
          <w:lang w:val="en-US" w:eastAsia="zh-CN"/>
        </w:rPr>
        <w:t xml:space="preserve"> </w:t>
      </w:r>
      <w:r>
        <w:rPr>
          <w:rFonts w:hint="eastAsia"/>
          <w:color w:val="auto"/>
          <w:sz w:val="24"/>
          <w:szCs w:val="24"/>
          <w:highlight w:val="none"/>
          <w:lang w:val="en-US" w:eastAsia="zh-CN"/>
        </w:rPr>
        <w:t>总合同的效力高于分签合同，</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签</w:t>
      </w:r>
      <w:r>
        <w:rPr>
          <w:rFonts w:hint="eastAsia" w:asciiTheme="minorEastAsia" w:hAnsiTheme="minorEastAsia" w:eastAsiaTheme="minorEastAsia" w:cstheme="minorEastAsia"/>
          <w:color w:val="auto"/>
          <w:sz w:val="24"/>
          <w:szCs w:val="24"/>
          <w:highlight w:val="none"/>
        </w:rPr>
        <w:t>合同内容不得与本</w:t>
      </w:r>
      <w:r>
        <w:rPr>
          <w:rFonts w:hint="eastAsia" w:asciiTheme="minorEastAsia" w:hAnsiTheme="minorEastAsia" w:eastAsiaTheme="minorEastAsia" w:cstheme="minorEastAsia"/>
          <w:color w:val="auto"/>
          <w:sz w:val="24"/>
          <w:szCs w:val="24"/>
          <w:highlight w:val="none"/>
          <w:lang w:val="en-US" w:eastAsia="zh-CN"/>
        </w:rPr>
        <w:t>合同协议</w:t>
      </w:r>
      <w:r>
        <w:rPr>
          <w:rFonts w:hint="eastAsia" w:asciiTheme="minorEastAsia" w:hAnsiTheme="minorEastAsia" w:eastAsiaTheme="minorEastAsia" w:cstheme="minorEastAsia"/>
          <w:color w:val="auto"/>
          <w:sz w:val="24"/>
          <w:szCs w:val="24"/>
          <w:highlight w:val="none"/>
        </w:rPr>
        <w:t>冲突，冲突时以本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协议为准。</w:t>
      </w:r>
    </w:p>
    <w:p w14:paraId="5FAC3835">
      <w:pPr>
        <w:pStyle w:val="43"/>
        <w:rPr>
          <w:rFonts w:hint="eastAsia"/>
          <w:color w:val="auto"/>
          <w:highlight w:val="none"/>
        </w:rPr>
      </w:pPr>
      <w:r>
        <w:rPr>
          <w:rFonts w:hint="eastAsia" w:asciiTheme="minorEastAsia" w:hAnsiTheme="minorEastAsia" w:eastAsiaTheme="minorEastAsia" w:cstheme="minorEastAsia"/>
          <w:color w:val="auto"/>
          <w:sz w:val="24"/>
          <w:szCs w:val="24"/>
          <w:highlight w:val="none"/>
        </w:rPr>
        <w:t>分合同是本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协议的组成部分。</w:t>
      </w:r>
    </w:p>
    <w:p w14:paraId="3F9D46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十</w:t>
      </w:r>
      <w:r>
        <w:rPr>
          <w:rFonts w:hint="eastAsia" w:asciiTheme="minorEastAsia" w:hAnsiTheme="minorEastAsia" w:eastAsiaTheme="minorEastAsia" w:cstheme="minorEastAsia"/>
          <w:b/>
          <w:bCs/>
          <w:color w:val="auto"/>
          <w:sz w:val="24"/>
          <w:szCs w:val="24"/>
          <w:highlight w:val="none"/>
        </w:rPr>
        <w:t>条 其他事项</w:t>
      </w:r>
    </w:p>
    <w:p w14:paraId="313E2ED9">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不可抗力原因造成损失时，乙方不承担甲方房产和设施的经济损失。</w:t>
      </w:r>
    </w:p>
    <w:p w14:paraId="5891786C">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甲、乙双方员工应保持相互尊重，不发生磨擦，若有发生因此造成的伤害由无理的一方负责。</w:t>
      </w:r>
    </w:p>
    <w:p w14:paraId="39A0DAE4">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如甲方员工或就餐人员在餐厅发生意外事故，由甲乙双方协商解决,因乙方原因造成甲方及其他用餐人员等人身损害的，责任由乙方承担。</w:t>
      </w:r>
    </w:p>
    <w:p w14:paraId="6A5113E6">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合同期满，乙方应将甲方提供的场地、设施、设备、工具等全部清还甲方，配合甲方完成清算工作。</w:t>
      </w:r>
    </w:p>
    <w:p w14:paraId="2C67C4AA">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根据省、市有关规定，本合同项目严禁转包及分包，否则，由此造成的一切后果概由乙方负责。</w:t>
      </w:r>
    </w:p>
    <w:p w14:paraId="5D5C5A16">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招标文件、乙方投标文件为合同附件，与本合同具有同等效力。合同未约定但招标文件有要求的内容，按照招投标文件执行。本合同及其附件、补充协议未约定事宜，应按照我国法律法规相关规定执行。本合同约定与招标文件不一致的以本合同为准。</w:t>
      </w:r>
    </w:p>
    <w:p w14:paraId="3536AD6D">
      <w:pPr>
        <w:numPr>
          <w:ilvl w:val="0"/>
          <w:numId w:val="21"/>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本合同一式肆份，甲方执贰份，乙方执贰份，双方盖章后生效，具有同等法律效力。</w:t>
      </w:r>
    </w:p>
    <w:p w14:paraId="09B12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rFonts w:hint="eastAsia" w:ascii="宋体" w:hAnsi="宋体" w:cs="宋体"/>
          <w:color w:val="auto"/>
          <w:kern w:val="0"/>
          <w:sz w:val="24"/>
          <w:szCs w:val="24"/>
          <w:highlight w:val="none"/>
          <w:lang w:val="en-US" w:eastAsia="zh-CN" w:bidi="ar"/>
        </w:rPr>
        <w:t>8.</w:t>
      </w:r>
      <w:r>
        <w:rPr>
          <w:rFonts w:ascii="宋体" w:hAnsi="宋体" w:eastAsia="宋体" w:cs="宋体"/>
          <w:color w:val="auto"/>
          <w:kern w:val="0"/>
          <w:sz w:val="24"/>
          <w:szCs w:val="24"/>
          <w:highlight w:val="none"/>
          <w:lang w:val="en-US" w:eastAsia="zh-CN" w:bidi="ar"/>
        </w:rPr>
        <w:t xml:space="preserve"> 本合同未尽事宜，双方可另行协商并签订补充协议。补充协议与本合同具有同等法律效力。</w:t>
      </w:r>
    </w:p>
    <w:p w14:paraId="39B75351">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239"/>
        <w:gridCol w:w="4079"/>
      </w:tblGrid>
      <w:tr w14:paraId="4E6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81" w:type="dxa"/>
            <w:tcBorders>
              <w:top w:val="nil"/>
              <w:left w:val="nil"/>
              <w:bottom w:val="nil"/>
              <w:right w:val="nil"/>
            </w:tcBorders>
            <w:vAlign w:val="top"/>
          </w:tcPr>
          <w:p w14:paraId="4166DCB9">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bCs/>
                <w:color w:val="auto"/>
                <w:sz w:val="24"/>
                <w:szCs w:val="24"/>
                <w:highlight w:val="none"/>
              </w:rPr>
              <w:t>甲方</w:t>
            </w:r>
            <w:r>
              <w:rPr>
                <w:rFonts w:hint="eastAsia" w:asciiTheme="minorEastAsia" w:hAnsiTheme="minorEastAsia" w:eastAsiaTheme="minorEastAsia" w:cstheme="minorEastAsia"/>
                <w:b/>
                <w:bCs/>
                <w:color w:val="auto"/>
                <w:sz w:val="24"/>
                <w:szCs w:val="24"/>
                <w:highlight w:val="none"/>
                <w:lang w:val="en-US" w:eastAsia="zh-CN"/>
              </w:rPr>
              <w:t>(采购主体)</w:t>
            </w:r>
            <w:r>
              <w:rPr>
                <w:rFonts w:hint="eastAsia" w:asciiTheme="minorEastAsia" w:hAnsiTheme="minorEastAsia" w:eastAsiaTheme="minorEastAsia" w:cstheme="minorEastAsia"/>
                <w:b/>
                <w:bCs/>
                <w:color w:val="auto"/>
                <w:sz w:val="24"/>
                <w:szCs w:val="24"/>
                <w:highlight w:val="none"/>
              </w:rPr>
              <w:t>（盖章</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w:t>
            </w:r>
          </w:p>
        </w:tc>
        <w:tc>
          <w:tcPr>
            <w:tcW w:w="239" w:type="dxa"/>
            <w:tcBorders>
              <w:top w:val="nil"/>
              <w:left w:val="nil"/>
              <w:bottom w:val="nil"/>
              <w:right w:val="nil"/>
            </w:tcBorders>
            <w:vAlign w:val="top"/>
          </w:tcPr>
          <w:p w14:paraId="0D60952E">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14039813">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乙方（盖章）：</w:t>
            </w:r>
          </w:p>
        </w:tc>
      </w:tr>
      <w:tr w14:paraId="1D74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4181" w:type="dxa"/>
            <w:tcBorders>
              <w:top w:val="nil"/>
              <w:left w:val="nil"/>
              <w:bottom w:val="nil"/>
              <w:right w:val="nil"/>
            </w:tcBorders>
            <w:vAlign w:val="top"/>
          </w:tcPr>
          <w:p w14:paraId="0382AFD3">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法人或委托代理人</w:t>
            </w:r>
          </w:p>
          <w:p w14:paraId="59DB02C1">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（签字或盖章</w:t>
            </w:r>
            <w:r>
              <w:rPr>
                <w:rFonts w:hint="eastAsia" w:asciiTheme="minorEastAsia" w:hAnsiTheme="minorEastAsia" w:eastAsiaTheme="minorEastAsia" w:cstheme="minorEastAsia"/>
                <w:color w:val="auto"/>
                <w:sz w:val="24"/>
                <w:szCs w:val="24"/>
                <w:highlight w:val="none"/>
                <w:lang w:eastAsia="zh-CN"/>
              </w:rPr>
              <w:t>）</w:t>
            </w:r>
          </w:p>
          <w:p w14:paraId="058F832E">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p>
        </w:tc>
        <w:tc>
          <w:tcPr>
            <w:tcW w:w="239" w:type="dxa"/>
            <w:tcBorders>
              <w:top w:val="nil"/>
              <w:left w:val="nil"/>
              <w:bottom w:val="nil"/>
              <w:right w:val="nil"/>
            </w:tcBorders>
            <w:vAlign w:val="top"/>
          </w:tcPr>
          <w:p w14:paraId="2754A3E1">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0468E6E2">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法人或委托代理人</w:t>
            </w:r>
          </w:p>
          <w:p w14:paraId="253290FA">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（签字或盖章</w:t>
            </w:r>
            <w:r>
              <w:rPr>
                <w:rFonts w:hint="eastAsia" w:asciiTheme="minorEastAsia" w:hAnsiTheme="minorEastAsia" w:eastAsiaTheme="minorEastAsia" w:cstheme="minorEastAsia"/>
                <w:color w:val="auto"/>
                <w:sz w:val="24"/>
                <w:szCs w:val="24"/>
                <w:highlight w:val="none"/>
                <w:lang w:eastAsia="zh-CN"/>
              </w:rPr>
              <w:t>）</w:t>
            </w:r>
          </w:p>
          <w:p w14:paraId="30E8585E">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p>
        </w:tc>
      </w:tr>
      <w:tr w14:paraId="42D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81" w:type="dxa"/>
            <w:tcBorders>
              <w:top w:val="nil"/>
              <w:left w:val="nil"/>
              <w:bottom w:val="nil"/>
              <w:right w:val="nil"/>
            </w:tcBorders>
            <w:vAlign w:val="top"/>
          </w:tcPr>
          <w:p w14:paraId="3AF90B36">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开户银行：</w:t>
            </w:r>
          </w:p>
        </w:tc>
        <w:tc>
          <w:tcPr>
            <w:tcW w:w="239" w:type="dxa"/>
            <w:tcBorders>
              <w:top w:val="nil"/>
              <w:left w:val="nil"/>
              <w:bottom w:val="nil"/>
              <w:right w:val="nil"/>
            </w:tcBorders>
            <w:vAlign w:val="top"/>
          </w:tcPr>
          <w:p w14:paraId="17206E31">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30344C1B">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开户银行：</w:t>
            </w:r>
          </w:p>
        </w:tc>
      </w:tr>
      <w:tr w14:paraId="66A7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81" w:type="dxa"/>
            <w:tcBorders>
              <w:top w:val="nil"/>
              <w:left w:val="nil"/>
              <w:bottom w:val="nil"/>
              <w:right w:val="nil"/>
            </w:tcBorders>
            <w:vAlign w:val="top"/>
          </w:tcPr>
          <w:p w14:paraId="3F69EA2C">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账号：</w:t>
            </w:r>
          </w:p>
        </w:tc>
        <w:tc>
          <w:tcPr>
            <w:tcW w:w="239" w:type="dxa"/>
            <w:tcBorders>
              <w:top w:val="nil"/>
              <w:left w:val="nil"/>
              <w:bottom w:val="nil"/>
              <w:right w:val="nil"/>
            </w:tcBorders>
            <w:vAlign w:val="top"/>
          </w:tcPr>
          <w:p w14:paraId="284DC944">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02568ADC">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账号：</w:t>
            </w:r>
          </w:p>
        </w:tc>
      </w:tr>
      <w:tr w14:paraId="451C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81" w:type="dxa"/>
            <w:tcBorders>
              <w:top w:val="nil"/>
              <w:left w:val="nil"/>
              <w:bottom w:val="nil"/>
              <w:right w:val="nil"/>
            </w:tcBorders>
            <w:vAlign w:val="top"/>
          </w:tcPr>
          <w:p w14:paraId="1819FEEE">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地址：</w:t>
            </w:r>
          </w:p>
        </w:tc>
        <w:tc>
          <w:tcPr>
            <w:tcW w:w="239" w:type="dxa"/>
            <w:tcBorders>
              <w:top w:val="nil"/>
              <w:left w:val="nil"/>
              <w:bottom w:val="nil"/>
              <w:right w:val="nil"/>
            </w:tcBorders>
            <w:vAlign w:val="top"/>
          </w:tcPr>
          <w:p w14:paraId="2574B95E">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090C691F">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地址：</w:t>
            </w:r>
          </w:p>
        </w:tc>
      </w:tr>
      <w:tr w14:paraId="0D3F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81" w:type="dxa"/>
            <w:tcBorders>
              <w:top w:val="nil"/>
              <w:left w:val="nil"/>
              <w:bottom w:val="nil"/>
              <w:right w:val="nil"/>
            </w:tcBorders>
            <w:vAlign w:val="top"/>
          </w:tcPr>
          <w:p w14:paraId="2D8C4180">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联系人电话：</w:t>
            </w:r>
          </w:p>
        </w:tc>
        <w:tc>
          <w:tcPr>
            <w:tcW w:w="239" w:type="dxa"/>
            <w:tcBorders>
              <w:top w:val="nil"/>
              <w:left w:val="nil"/>
              <w:bottom w:val="nil"/>
              <w:right w:val="nil"/>
            </w:tcBorders>
            <w:vAlign w:val="top"/>
          </w:tcPr>
          <w:p w14:paraId="4ECBA6B0">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79" w:type="dxa"/>
            <w:tcBorders>
              <w:top w:val="nil"/>
              <w:left w:val="nil"/>
              <w:bottom w:val="nil"/>
              <w:right w:val="nil"/>
            </w:tcBorders>
            <w:vAlign w:val="top"/>
          </w:tcPr>
          <w:p w14:paraId="049CBBC0">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联系人电话：</w:t>
            </w:r>
          </w:p>
        </w:tc>
      </w:tr>
    </w:tbl>
    <w:p w14:paraId="5D1AA3E9">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p>
    <w:p w14:paraId="07EBEB74">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082890B0">
      <w:pPr>
        <w:numPr>
          <w:ilvl w:val="0"/>
          <w:numId w:val="13"/>
        </w:num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职工食堂承包服务项目--- 分合同</w:t>
      </w:r>
    </w:p>
    <w:p w14:paraId="1C7E1C9D">
      <w:pPr>
        <w:numPr>
          <w:ilvl w:val="0"/>
          <w:numId w:val="0"/>
        </w:num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（河南省生态环境厅职工食堂服务项目分签合同）</w:t>
      </w:r>
    </w:p>
    <w:p w14:paraId="25C2E4C6">
      <w:pPr>
        <w:pStyle w:val="43"/>
        <w:rPr>
          <w:rFonts w:hint="eastAsia"/>
          <w:color w:val="auto"/>
          <w:highlight w:val="none"/>
          <w:lang w:val="en-US" w:eastAsia="zh-CN"/>
        </w:rPr>
      </w:pPr>
    </w:p>
    <w:p w14:paraId="43507615">
      <w:pPr>
        <w:spacing w:line="360" w:lineRule="auto"/>
        <w:rPr>
          <w:rFonts w:hint="eastAsia" w:asciiTheme="minorEastAsia" w:hAnsiTheme="minorEastAsia" w:eastAsiaTheme="minorEastAsia" w:cstheme="minorEastAsia"/>
          <w:color w:val="auto"/>
          <w:sz w:val="24"/>
          <w:szCs w:val="24"/>
          <w:highlight w:val="none"/>
        </w:rPr>
      </w:pPr>
    </w:p>
    <w:p w14:paraId="1723220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（分签主体）</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w:t>
      </w:r>
    </w:p>
    <w:p w14:paraId="5C15FAD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p w14:paraId="67C4DE6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注册地址：河南省郑州市郑东新区学理路十号</w:t>
      </w:r>
    </w:p>
    <w:p w14:paraId="664F5CCA">
      <w:pPr>
        <w:spacing w:line="360" w:lineRule="auto"/>
        <w:rPr>
          <w:rFonts w:hint="eastAsia" w:asciiTheme="minorEastAsia" w:hAnsiTheme="minorEastAsia" w:eastAsiaTheme="minorEastAsia" w:cstheme="minorEastAsia"/>
          <w:color w:val="auto"/>
          <w:sz w:val="24"/>
          <w:szCs w:val="24"/>
          <w:highlight w:val="none"/>
        </w:rPr>
      </w:pPr>
    </w:p>
    <w:p w14:paraId="4E6442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中标方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（以下简称乙方）</w:t>
      </w:r>
    </w:p>
    <w:p w14:paraId="77F23F9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乙方统一社会信用代码：</w:t>
      </w:r>
    </w:p>
    <w:p w14:paraId="46EB9D7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w:t>
      </w:r>
    </w:p>
    <w:p w14:paraId="6B7C5608">
      <w:pPr>
        <w:spacing w:line="360" w:lineRule="auto"/>
        <w:rPr>
          <w:rFonts w:hint="eastAsia" w:asciiTheme="minorEastAsia" w:hAnsiTheme="minorEastAsia" w:eastAsiaTheme="minorEastAsia" w:cstheme="minorEastAsia"/>
          <w:color w:val="auto"/>
          <w:sz w:val="24"/>
          <w:szCs w:val="24"/>
          <w:highlight w:val="none"/>
        </w:rPr>
      </w:pPr>
    </w:p>
    <w:p w14:paraId="18A33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firstLineChars="0"/>
        <w:jc w:val="left"/>
        <w:rPr>
          <w:color w:val="auto"/>
          <w:sz w:val="24"/>
          <w:szCs w:val="24"/>
          <w:highlight w:val="none"/>
        </w:rPr>
      </w:pPr>
      <w:r>
        <w:rPr>
          <w:color w:val="auto"/>
          <w:sz w:val="24"/>
          <w:szCs w:val="24"/>
          <w:highlight w:val="none"/>
        </w:rPr>
        <w:t>第一条 合同订立依据与目的</w:t>
      </w:r>
    </w:p>
    <w:p w14:paraId="3E8F6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本合同依据《中华人民共和国民法典》、《中华人民共和国政府采购法》（如适用）及相关法律法规，以及由</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河南省生态环境厅</w:t>
      </w:r>
      <w:r>
        <w:rPr>
          <w:rFonts w:hint="eastAsia" w:ascii="宋体" w:hAnsi="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（以下简称 “统一采购方”）组织的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河南省生态环境厅职工食堂承包服务</w:t>
      </w:r>
      <w:r>
        <w:rPr>
          <w:rFonts w:hint="eastAsia" w:ascii="宋体" w:hAnsi="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采购项目的公开招标结果、招标文件、乙方的投标文件及中标通知书订立。</w:t>
      </w:r>
    </w:p>
    <w:p w14:paraId="4A282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为明确甲乙双方在 “统一招标、分别签署” 模式下的权利和义务，确保</w:t>
      </w:r>
      <w:r>
        <w:rPr>
          <w:rFonts w:hint="eastAsia" w:ascii="宋体" w:hAnsi="宋体" w:eastAsia="宋体" w:cs="宋体"/>
          <w:color w:val="auto"/>
          <w:kern w:val="0"/>
          <w:sz w:val="24"/>
          <w:szCs w:val="24"/>
          <w:highlight w:val="none"/>
          <w:lang w:val="en-US" w:eastAsia="zh-CN" w:bidi="ar"/>
        </w:rPr>
        <w:t>相关</w:t>
      </w:r>
      <w:r>
        <w:rPr>
          <w:rFonts w:ascii="宋体" w:hAnsi="宋体" w:eastAsia="宋体" w:cs="宋体"/>
          <w:color w:val="auto"/>
          <w:kern w:val="0"/>
          <w:sz w:val="24"/>
          <w:szCs w:val="24"/>
          <w:highlight w:val="none"/>
          <w:lang w:val="en-US" w:eastAsia="zh-CN" w:bidi="ar"/>
        </w:rPr>
        <w:t>服务的顺利实施，甲乙双方本着平等、自愿、公平和诚实信用的原则，经友好协商，订立本合同。</w:t>
      </w:r>
    </w:p>
    <w:p w14:paraId="6890B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第二条 合同标的与服务内容</w:t>
      </w:r>
    </w:p>
    <w:p w14:paraId="62E79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w:t>
      </w:r>
      <w:r>
        <w:rPr>
          <w:rStyle w:val="30"/>
          <w:rFonts w:ascii="宋体" w:hAnsi="宋体" w:eastAsia="宋体" w:cs="宋体"/>
          <w:b/>
          <w:bCs/>
          <w:color w:val="auto"/>
          <w:kern w:val="0"/>
          <w:sz w:val="24"/>
          <w:szCs w:val="24"/>
          <w:highlight w:val="none"/>
          <w:lang w:val="en-US" w:eastAsia="zh-CN" w:bidi="ar"/>
        </w:rPr>
        <w:t>合同标的</w:t>
      </w:r>
      <w:r>
        <w:rPr>
          <w:rFonts w:ascii="宋体" w:hAnsi="宋体" w:eastAsia="宋体" w:cs="宋体"/>
          <w:color w:val="auto"/>
          <w:kern w:val="0"/>
          <w:sz w:val="24"/>
          <w:szCs w:val="24"/>
          <w:highlight w:val="none"/>
          <w:lang w:val="en-US" w:eastAsia="zh-CN" w:bidi="ar"/>
        </w:rPr>
        <w:t>：乙方同意按照统一采购方招标文件、中标通知书及本合同的要求，为甲方提供</w:t>
      </w:r>
      <w:r>
        <w:rPr>
          <w:rFonts w:hint="eastAsia" w:ascii="宋体" w:hAnsi="宋体" w:eastAsia="宋体" w:cs="宋体"/>
          <w:color w:val="auto"/>
          <w:kern w:val="0"/>
          <w:sz w:val="24"/>
          <w:szCs w:val="24"/>
          <w:highlight w:val="none"/>
          <w:lang w:val="en-US" w:eastAsia="zh-CN" w:bidi="ar"/>
        </w:rPr>
        <w:t>相关服务</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 </w:t>
      </w:r>
    </w:p>
    <w:p w14:paraId="102E8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color w:val="auto"/>
          <w:sz w:val="24"/>
          <w:szCs w:val="24"/>
          <w:highlight w:val="none"/>
        </w:rPr>
      </w:pPr>
      <w:r>
        <w:rPr>
          <w:rFonts w:ascii="宋体" w:hAnsi="宋体" w:eastAsia="宋体" w:cs="宋体"/>
          <w:color w:val="auto"/>
          <w:kern w:val="0"/>
          <w:sz w:val="24"/>
          <w:szCs w:val="24"/>
          <w:highlight w:val="none"/>
          <w:lang w:val="en-US" w:eastAsia="zh-CN" w:bidi="ar"/>
        </w:rPr>
        <w:t xml:space="preserve">2. </w:t>
      </w:r>
      <w:r>
        <w:rPr>
          <w:rStyle w:val="30"/>
          <w:rFonts w:ascii="宋体" w:hAnsi="宋体" w:eastAsia="宋体" w:cs="宋体"/>
          <w:b/>
          <w:bCs/>
          <w:color w:val="auto"/>
          <w:kern w:val="0"/>
          <w:sz w:val="24"/>
          <w:szCs w:val="24"/>
          <w:highlight w:val="none"/>
          <w:lang w:val="en-US" w:eastAsia="zh-CN" w:bidi="ar"/>
        </w:rPr>
        <w:t>服务内容与要求</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根据统一采购方要求</w:t>
      </w:r>
      <w:r>
        <w:rPr>
          <w:rFonts w:ascii="宋体" w:hAnsi="宋体" w:eastAsia="宋体" w:cs="宋体"/>
          <w:color w:val="auto"/>
          <w:kern w:val="0"/>
          <w:sz w:val="24"/>
          <w:szCs w:val="24"/>
          <w:highlight w:val="none"/>
          <w:lang w:val="en-US" w:eastAsia="zh-CN" w:bidi="ar"/>
        </w:rPr>
        <w:t>具体服务内容、服务标准、人员配置、服务期限等。该附件为本合同不可分割的组成部分，与本合同具有同等法律效力。</w:t>
      </w:r>
    </w:p>
    <w:p w14:paraId="3B1E52BD">
      <w:pPr>
        <w:pStyle w:val="43"/>
        <w:rPr>
          <w:rFonts w:hint="eastAsia"/>
          <w:color w:val="auto"/>
          <w:highlight w:val="none"/>
        </w:rPr>
      </w:pPr>
    </w:p>
    <w:p w14:paraId="36FE94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eastAsiaTheme="minorEastAsia" w:cstheme="minorEastAsia"/>
          <w:b/>
          <w:bCs/>
          <w:color w:val="auto"/>
          <w:sz w:val="24"/>
          <w:szCs w:val="24"/>
          <w:highlight w:val="none"/>
          <w:lang w:val="en-US" w:eastAsia="zh-CN"/>
        </w:rPr>
        <w:t>合同金额</w:t>
      </w:r>
      <w:r>
        <w:rPr>
          <w:rFonts w:hint="eastAsia" w:asciiTheme="minorEastAsia" w:hAnsiTheme="minorEastAsia" w:eastAsiaTheme="minorEastAsia" w:cstheme="minorEastAsia"/>
          <w:b/>
          <w:bCs/>
          <w:color w:val="auto"/>
          <w:sz w:val="24"/>
          <w:szCs w:val="24"/>
          <w:highlight w:val="none"/>
        </w:rPr>
        <w:t>及付款方式</w:t>
      </w:r>
    </w:p>
    <w:p w14:paraId="1CB2DF17">
      <w:pPr>
        <w:numPr>
          <w:ilvl w:val="0"/>
          <w:numId w:val="22"/>
        </w:numPr>
        <w:spacing w:line="360" w:lineRule="auto"/>
        <w:ind w:left="0" w:leftChars="0" w:firstLine="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（分签主体）</w:t>
      </w:r>
      <w:r>
        <w:rPr>
          <w:rFonts w:hint="eastAsia" w:asciiTheme="minorEastAsia" w:hAnsiTheme="minorEastAsia" w:eastAsiaTheme="minorEastAsia" w:cstheme="minorEastAsia"/>
          <w:color w:val="auto"/>
          <w:sz w:val="24"/>
          <w:szCs w:val="24"/>
          <w:highlight w:val="none"/>
        </w:rPr>
        <w:t>承担合同总金额的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即人民币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大写（含税）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元小写</w:t>
      </w:r>
      <w:r>
        <w:rPr>
          <w:rFonts w:hint="eastAsia" w:asciiTheme="minorEastAsia" w:hAnsiTheme="minorEastAsia" w:eastAsiaTheme="minorEastAsia" w:cstheme="minorEastAsia"/>
          <w:color w:val="auto"/>
          <w:sz w:val="24"/>
          <w:szCs w:val="24"/>
          <w:highlight w:val="none"/>
          <w:lang w:val="en-US" w:eastAsia="zh-CN"/>
        </w:rPr>
        <w:t xml:space="preserve">  </w:t>
      </w:r>
    </w:p>
    <w:p w14:paraId="4DBA5082">
      <w:pPr>
        <w:numPr>
          <w:ilvl w:val="0"/>
          <w:numId w:val="22"/>
        </w:numPr>
        <w:spacing w:line="360" w:lineRule="auto"/>
        <w:ind w:left="0" w:leftChars="0" w:firstLine="40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w:t>
      </w:r>
      <w:r>
        <w:rPr>
          <w:rFonts w:hint="eastAsia" w:asciiTheme="minorEastAsia" w:hAnsiTheme="minorEastAsia" w:eastAsiaTheme="minorEastAsia" w:cstheme="minorEastAsia"/>
          <w:color w:val="auto"/>
          <w:sz w:val="24"/>
          <w:szCs w:val="24"/>
          <w:highlight w:val="none"/>
          <w:lang w:val="en-US" w:eastAsia="zh-CN"/>
        </w:rPr>
        <w:t>方式</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51897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条 服务期限</w:t>
      </w:r>
    </w:p>
    <w:p w14:paraId="5ADADB26">
      <w:pPr>
        <w:numPr>
          <w:ilvl w:val="0"/>
          <w:numId w:val="0"/>
        </w:numPr>
        <w:spacing w:line="360" w:lineRule="auto"/>
        <w:ind w:left="42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年，从合同签订后进场服务的第</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日开始起算。</w:t>
      </w:r>
    </w:p>
    <w:p w14:paraId="756BB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w:t>
      </w:r>
      <w:r>
        <w:rPr>
          <w:rFonts w:hint="eastAsia"/>
          <w:color w:val="auto"/>
          <w:sz w:val="24"/>
          <w:szCs w:val="24"/>
          <w:highlight w:val="none"/>
          <w:lang w:val="en-US" w:eastAsia="zh-CN"/>
        </w:rPr>
        <w:t>五</w:t>
      </w:r>
      <w:r>
        <w:rPr>
          <w:color w:val="auto"/>
          <w:sz w:val="24"/>
          <w:szCs w:val="24"/>
          <w:highlight w:val="none"/>
        </w:rPr>
        <w:t>条 双方权利与义务</w:t>
      </w:r>
    </w:p>
    <w:p w14:paraId="5C4BB7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（一）甲方权利与义务</w:t>
      </w:r>
    </w:p>
    <w:p w14:paraId="0772A88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甲方有权对乙方提供的劳务服务进行日常监督和管理，提出改进意见。</w:t>
      </w:r>
    </w:p>
    <w:p w14:paraId="468BC5DC">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甲方应按照合同约定及时向乙方支付服务费用。</w:t>
      </w:r>
    </w:p>
    <w:p w14:paraId="6E410872">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甲方应为乙方履行合同提供必要的协助和配合，包括提供必要的工作场地、信息等。</w:t>
      </w:r>
    </w:p>
    <w:p w14:paraId="4C26FBB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kern w:val="2"/>
          <w:sz w:val="24"/>
          <w:szCs w:val="24"/>
          <w:highlight w:val="none"/>
          <w:lang w:val="en-US" w:eastAsia="zh-CN" w:bidi="ar"/>
        </w:rPr>
        <w:t>甲方有权要求乙方遵守统一采购方与乙方签订的协议中的各项约定。</w:t>
      </w:r>
    </w:p>
    <w:p w14:paraId="3822ADD8">
      <w:pPr>
        <w:widowControl/>
        <w:numPr>
          <w:ilvl w:val="0"/>
          <w:numId w:val="23"/>
        </w:numPr>
        <w:pBdr>
          <w:top w:val="none" w:color="auto" w:sz="0" w:space="0"/>
          <w:left w:val="none" w:color="auto" w:sz="0" w:space="0"/>
          <w:bottom w:val="none" w:color="auto" w:sz="0" w:space="0"/>
          <w:right w:val="none" w:color="auto" w:sz="0" w:space="0"/>
        </w:pBdr>
        <w:spacing w:line="360" w:lineRule="auto"/>
        <w:ind w:left="0" w:leftChars="0" w:firstLine="420" w:firstLineChars="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甲方可根据需求决定，是否要求乙方提供就餐保障，相应结算方式按照每月末实际发生就餐人次及本级相应标准进行结算就餐服务费。</w:t>
      </w:r>
    </w:p>
    <w:p w14:paraId="5485A8CA">
      <w:pPr>
        <w:pStyle w:val="43"/>
        <w:rPr>
          <w:rFonts w:hint="default"/>
          <w:color w:val="auto"/>
          <w:highlight w:val="none"/>
          <w:lang w:val="en-US"/>
        </w:rPr>
      </w:pPr>
    </w:p>
    <w:p w14:paraId="0B2BC7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（二）乙方权利与义务</w:t>
      </w:r>
    </w:p>
    <w:p w14:paraId="7EEFE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175"/>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乙方有权按照合同约定收取甲方支付的服务费用。乙方应严格按照本合同及附件的约定，按时、保质、保量地提供劳务服务，确保服务人员的素质和稳定性。</w:t>
      </w:r>
    </w:p>
    <w:p w14:paraId="42B47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175"/>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乙方应建立健全服务质量管理体系，确保服务质量符合国家相关标准、行业标准及合同约定。</w:t>
      </w:r>
    </w:p>
    <w:p w14:paraId="05874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175"/>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乙方应接受甲方及统一采购方的监督检查，对提出的问题及时整改。</w:t>
      </w:r>
    </w:p>
    <w:p w14:paraId="4587D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175"/>
        <w:jc w:val="left"/>
        <w:rPr>
          <w:color w:val="auto"/>
          <w:sz w:val="24"/>
          <w:szCs w:val="24"/>
          <w:highlight w:val="none"/>
        </w:rPr>
      </w:pPr>
      <w:r>
        <w:rPr>
          <w:rFonts w:ascii="宋体" w:hAnsi="宋体" w:eastAsia="宋体" w:cs="宋体"/>
          <w:color w:val="auto"/>
          <w:kern w:val="0"/>
          <w:sz w:val="24"/>
          <w:szCs w:val="24"/>
          <w:highlight w:val="none"/>
          <w:lang w:val="en-US" w:eastAsia="zh-CN" w:bidi="ar"/>
        </w:rPr>
        <w:t>4.乙方不得将本合同项下的权利义务转包或分包给第三方。</w:t>
      </w:r>
    </w:p>
    <w:p w14:paraId="08221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w:t>
      </w:r>
      <w:r>
        <w:rPr>
          <w:rFonts w:hint="eastAsia"/>
          <w:color w:val="auto"/>
          <w:sz w:val="24"/>
          <w:szCs w:val="24"/>
          <w:highlight w:val="none"/>
          <w:lang w:val="en-US" w:eastAsia="zh-CN"/>
        </w:rPr>
        <w:t>六</w:t>
      </w:r>
      <w:r>
        <w:rPr>
          <w:color w:val="auto"/>
          <w:sz w:val="24"/>
          <w:szCs w:val="24"/>
          <w:highlight w:val="none"/>
        </w:rPr>
        <w:t>条 验收标准与方式</w:t>
      </w:r>
    </w:p>
    <w:p w14:paraId="1A14B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乙方完成阶段性服务或合同期满后，</w:t>
      </w:r>
      <w:r>
        <w:rPr>
          <w:rFonts w:hint="eastAsia" w:ascii="宋体" w:hAnsi="宋体" w:eastAsia="宋体" w:cs="宋体"/>
          <w:color w:val="auto"/>
          <w:kern w:val="0"/>
          <w:sz w:val="24"/>
          <w:szCs w:val="24"/>
          <w:highlight w:val="none"/>
          <w:lang w:val="en-US" w:eastAsia="zh-CN" w:bidi="ar"/>
        </w:rPr>
        <w:t>根据统一采购方评考相关要求提供相关材料</w:t>
      </w:r>
      <w:r>
        <w:rPr>
          <w:rFonts w:ascii="宋体" w:hAnsi="宋体" w:eastAsia="宋体" w:cs="宋体"/>
          <w:color w:val="auto"/>
          <w:kern w:val="0"/>
          <w:sz w:val="24"/>
          <w:szCs w:val="24"/>
          <w:highlight w:val="none"/>
          <w:lang w:val="en-US" w:eastAsia="zh-CN" w:bidi="ar"/>
        </w:rPr>
        <w:t>。</w:t>
      </w:r>
    </w:p>
    <w:p w14:paraId="59CDE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第六条 违约责任</w:t>
      </w:r>
    </w:p>
    <w:p w14:paraId="285A1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任何一方违反本合同约定，应承担相应的违约责任，并赔偿对方因此造成的直接经济损失。</w:t>
      </w:r>
    </w:p>
    <w:p w14:paraId="0B962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若乙方提供的劳务服务质量不符合合同约定，甲方有权要求乙方限期整改，逾期未整改或整改后仍不合格的，甲方有权解除合同，</w:t>
      </w:r>
    </w:p>
    <w:p w14:paraId="21EEA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color w:val="auto"/>
          <w:sz w:val="24"/>
          <w:szCs w:val="24"/>
          <w:highlight w:val="none"/>
        </w:rPr>
      </w:pPr>
      <w:r>
        <w:rPr>
          <w:rFonts w:hint="eastAsia" w:ascii="宋体" w:hAnsi="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乙方擅自转包或分包的，甲方有权解除合同，并要求乙方支付合同</w:t>
      </w:r>
      <w:r>
        <w:rPr>
          <w:rFonts w:hint="eastAsia" w:ascii="宋体" w:hAnsi="宋体" w:eastAsia="宋体" w:cs="宋体"/>
          <w:color w:val="auto"/>
          <w:kern w:val="0"/>
          <w:sz w:val="24"/>
          <w:szCs w:val="24"/>
          <w:highlight w:val="none"/>
          <w:lang w:val="en-US" w:eastAsia="zh-CN" w:bidi="ar"/>
        </w:rPr>
        <w:t>相对应</w:t>
      </w:r>
      <w:r>
        <w:rPr>
          <w:rFonts w:ascii="宋体" w:hAnsi="宋体" w:eastAsia="宋体" w:cs="宋体"/>
          <w:color w:val="auto"/>
          <w:kern w:val="0"/>
          <w:sz w:val="24"/>
          <w:szCs w:val="24"/>
          <w:highlight w:val="none"/>
          <w:lang w:val="en-US" w:eastAsia="zh-CN" w:bidi="ar"/>
        </w:rPr>
        <w:t>总金额</w:t>
      </w:r>
      <w:r>
        <w:rPr>
          <w:rFonts w:hint="eastAsia" w:ascii="宋体" w:hAnsi="宋体" w:eastAsia="宋体" w:cs="宋体"/>
          <w:color w:val="auto"/>
          <w:kern w:val="0"/>
          <w:sz w:val="24"/>
          <w:szCs w:val="24"/>
          <w:highlight w:val="none"/>
          <w:lang w:val="en-US" w:eastAsia="zh-CN" w:bidi="ar"/>
        </w:rPr>
        <w:t>10</w:t>
      </w:r>
      <w:r>
        <w:rPr>
          <w:rFonts w:ascii="宋体" w:hAnsi="宋体" w:eastAsia="宋体" w:cs="宋体"/>
          <w:color w:val="auto"/>
          <w:kern w:val="0"/>
          <w:sz w:val="24"/>
          <w:szCs w:val="24"/>
          <w:highlight w:val="none"/>
          <w:lang w:val="en-US" w:eastAsia="zh-CN" w:bidi="ar"/>
        </w:rPr>
        <w:t>% 的违约金。</w:t>
      </w:r>
    </w:p>
    <w:p w14:paraId="27B25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第七条 合同的变更、解除与终止</w:t>
      </w:r>
    </w:p>
    <w:p w14:paraId="01E5B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本合同的变更或解除，须经双方协商一致，并签订书面补充协议。</w:t>
      </w:r>
    </w:p>
    <w:p w14:paraId="7749E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因不可抗力导致本合同无法履行的，双方可协商解除合同，互不承担违约责任。</w:t>
      </w:r>
    </w:p>
    <w:p w14:paraId="46907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color w:val="auto"/>
          <w:sz w:val="24"/>
          <w:szCs w:val="24"/>
          <w:highlight w:val="none"/>
        </w:rPr>
      </w:pPr>
      <w:r>
        <w:rPr>
          <w:rFonts w:hint="eastAsia" w:ascii="宋体" w:hAnsi="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合同期满，本合同自动终止。合同终止后，乙方应在</w:t>
      </w:r>
      <w:r>
        <w:rPr>
          <w:rFonts w:hint="eastAsia" w:ascii="宋体" w:hAnsi="宋体" w:eastAsia="宋体" w:cs="宋体"/>
          <w:color w:val="auto"/>
          <w:kern w:val="0"/>
          <w:sz w:val="24"/>
          <w:szCs w:val="24"/>
          <w:highlight w:val="none"/>
          <w:lang w:val="en-US" w:eastAsia="zh-CN" w:bidi="ar"/>
        </w:rPr>
        <w:t>7</w:t>
      </w:r>
      <w:r>
        <w:rPr>
          <w:rFonts w:ascii="宋体" w:hAnsi="宋体" w:eastAsia="宋体" w:cs="宋体"/>
          <w:color w:val="auto"/>
          <w:kern w:val="0"/>
          <w:sz w:val="24"/>
          <w:szCs w:val="24"/>
          <w:highlight w:val="none"/>
          <w:lang w:val="en-US" w:eastAsia="zh-CN" w:bidi="ar"/>
        </w:rPr>
        <w:t>日内完成相关资料的移交工作。</w:t>
      </w:r>
    </w:p>
    <w:p w14:paraId="1A371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第八条 争议解决</w:t>
      </w:r>
    </w:p>
    <w:p w14:paraId="4F9E4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双方在履行本合同过程中发生的争议，应首先通过友好协商解决。</w:t>
      </w:r>
    </w:p>
    <w:p w14:paraId="4DD44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color w:val="auto"/>
          <w:sz w:val="24"/>
          <w:szCs w:val="24"/>
          <w:highlight w:val="none"/>
        </w:rPr>
      </w:pPr>
      <w:r>
        <w:rPr>
          <w:rFonts w:hint="eastAsia" w:ascii="宋体" w:hAnsi="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协商不成的，任何一方均有权向合同签订地有管辖权的人民法院提起诉讼。</w:t>
      </w:r>
    </w:p>
    <w:p w14:paraId="25C6E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color w:val="auto"/>
          <w:sz w:val="24"/>
          <w:szCs w:val="24"/>
          <w:highlight w:val="none"/>
        </w:rPr>
        <w:t>第九条 其他条款</w:t>
      </w:r>
    </w:p>
    <w:p w14:paraId="51C05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本合同一式两份，甲乙双方各执一份，自双方签字盖章之日起生效，具有同等法律效力。</w:t>
      </w:r>
    </w:p>
    <w:p w14:paraId="2E76C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color w:val="auto"/>
          <w:sz w:val="24"/>
          <w:szCs w:val="24"/>
          <w:highlight w:val="none"/>
        </w:rPr>
      </w:pPr>
      <w:r>
        <w:rPr>
          <w:rFonts w:hint="eastAsia" w:ascii="宋体" w:hAnsi="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本合同未尽事宜，双方可另行协商并签订补充协议。补充协议与本合同具有同等法律效力。</w:t>
      </w:r>
    </w:p>
    <w:p w14:paraId="61D67732">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p>
    <w:p w14:paraId="0617C29F">
      <w:pPr>
        <w:pStyle w:val="43"/>
        <w:rPr>
          <w:rFonts w:hint="eastAsia" w:asciiTheme="minorEastAsia" w:hAnsiTheme="minorEastAsia" w:eastAsiaTheme="minorEastAsia" w:cstheme="minorEastAsia"/>
          <w:color w:val="auto"/>
          <w:sz w:val="24"/>
          <w:szCs w:val="24"/>
          <w:highlight w:val="none"/>
        </w:rPr>
      </w:pPr>
    </w:p>
    <w:p w14:paraId="7E86806C">
      <w:pPr>
        <w:rPr>
          <w:rFonts w:hint="eastAsia" w:asciiTheme="minorEastAsia" w:hAnsiTheme="minorEastAsia" w:eastAsiaTheme="minorEastAsia" w:cstheme="minorEastAsia"/>
          <w:color w:val="auto"/>
          <w:sz w:val="24"/>
          <w:szCs w:val="24"/>
          <w:highlight w:val="none"/>
        </w:rPr>
      </w:pPr>
    </w:p>
    <w:p w14:paraId="2E43225E">
      <w:pPr>
        <w:pStyle w:val="43"/>
        <w:rPr>
          <w:rFonts w:hint="eastAsia" w:asciiTheme="minorEastAsia" w:hAnsiTheme="minorEastAsia" w:eastAsiaTheme="minorEastAsia" w:cstheme="minorEastAsia"/>
          <w:color w:val="auto"/>
          <w:sz w:val="24"/>
          <w:szCs w:val="24"/>
          <w:highlight w:val="none"/>
        </w:rPr>
      </w:pPr>
    </w:p>
    <w:p w14:paraId="65A6FEBE">
      <w:pPr>
        <w:rPr>
          <w:rFonts w:hint="eastAsia" w:asciiTheme="minorEastAsia" w:hAnsiTheme="minorEastAsia" w:eastAsiaTheme="minorEastAsia" w:cstheme="minorEastAsia"/>
          <w:color w:val="auto"/>
          <w:sz w:val="24"/>
          <w:szCs w:val="24"/>
          <w:highlight w:val="none"/>
        </w:rPr>
      </w:pPr>
    </w:p>
    <w:p w14:paraId="21BB16B0">
      <w:pPr>
        <w:pStyle w:val="43"/>
        <w:rPr>
          <w:rFonts w:hint="eastAsia" w:asciiTheme="minorEastAsia" w:hAnsiTheme="minorEastAsia" w:eastAsiaTheme="minorEastAsia" w:cstheme="minorEastAsia"/>
          <w:color w:val="auto"/>
          <w:sz w:val="24"/>
          <w:szCs w:val="24"/>
          <w:highlight w:val="none"/>
        </w:rPr>
      </w:pPr>
    </w:p>
    <w:p w14:paraId="757AC94A">
      <w:pPr>
        <w:rPr>
          <w:rFonts w:hint="eastAsia" w:asciiTheme="minorEastAsia" w:hAnsiTheme="minorEastAsia" w:eastAsiaTheme="minorEastAsia" w:cstheme="minorEastAsia"/>
          <w:color w:val="auto"/>
          <w:sz w:val="24"/>
          <w:szCs w:val="24"/>
          <w:highlight w:val="none"/>
        </w:rPr>
      </w:pPr>
    </w:p>
    <w:p w14:paraId="6F354FA9">
      <w:pPr>
        <w:pStyle w:val="43"/>
        <w:rPr>
          <w:rFonts w:hint="eastAsia"/>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235"/>
        <w:gridCol w:w="4021"/>
      </w:tblGrid>
      <w:tr w14:paraId="4C87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22" w:type="dxa"/>
            <w:tcBorders>
              <w:top w:val="nil"/>
              <w:left w:val="nil"/>
              <w:bottom w:val="nil"/>
              <w:right w:val="nil"/>
            </w:tcBorders>
            <w:vAlign w:val="top"/>
          </w:tcPr>
          <w:p w14:paraId="793AC1D7">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甲方（盖章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tc>
        <w:tc>
          <w:tcPr>
            <w:tcW w:w="235" w:type="dxa"/>
            <w:tcBorders>
              <w:top w:val="nil"/>
              <w:left w:val="nil"/>
              <w:bottom w:val="nil"/>
              <w:right w:val="nil"/>
            </w:tcBorders>
            <w:vAlign w:val="top"/>
          </w:tcPr>
          <w:p w14:paraId="4F19CF93">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1A99C774">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乙方（盖章）：</w:t>
            </w:r>
          </w:p>
        </w:tc>
      </w:tr>
      <w:tr w14:paraId="70A6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4122" w:type="dxa"/>
            <w:tcBorders>
              <w:top w:val="nil"/>
              <w:left w:val="nil"/>
              <w:bottom w:val="nil"/>
              <w:right w:val="nil"/>
            </w:tcBorders>
            <w:vAlign w:val="top"/>
          </w:tcPr>
          <w:p w14:paraId="3015075B">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法人或委托代理人</w:t>
            </w:r>
          </w:p>
          <w:p w14:paraId="08C7820A">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（签字或盖章</w:t>
            </w:r>
            <w:r>
              <w:rPr>
                <w:rFonts w:hint="eastAsia" w:asciiTheme="minorEastAsia" w:hAnsiTheme="minorEastAsia" w:eastAsiaTheme="minorEastAsia" w:cstheme="minorEastAsia"/>
                <w:color w:val="auto"/>
                <w:sz w:val="24"/>
                <w:szCs w:val="24"/>
                <w:highlight w:val="none"/>
                <w:lang w:eastAsia="zh-CN"/>
              </w:rPr>
              <w:t>）</w:t>
            </w:r>
          </w:p>
          <w:p w14:paraId="77569F70">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p>
        </w:tc>
        <w:tc>
          <w:tcPr>
            <w:tcW w:w="235" w:type="dxa"/>
            <w:tcBorders>
              <w:top w:val="nil"/>
              <w:left w:val="nil"/>
              <w:bottom w:val="nil"/>
              <w:right w:val="nil"/>
            </w:tcBorders>
            <w:vAlign w:val="top"/>
          </w:tcPr>
          <w:p w14:paraId="62EC56B0">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51B5F5BC">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法人或委托代理人</w:t>
            </w:r>
          </w:p>
          <w:p w14:paraId="28AB221B">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（签字或盖章</w:t>
            </w:r>
            <w:r>
              <w:rPr>
                <w:rFonts w:hint="eastAsia" w:asciiTheme="minorEastAsia" w:hAnsiTheme="minorEastAsia" w:eastAsiaTheme="minorEastAsia" w:cstheme="minorEastAsia"/>
                <w:color w:val="auto"/>
                <w:sz w:val="24"/>
                <w:szCs w:val="24"/>
                <w:highlight w:val="none"/>
                <w:lang w:eastAsia="zh-CN"/>
              </w:rPr>
              <w:t>）</w:t>
            </w:r>
          </w:p>
          <w:p w14:paraId="0FA22998">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p>
        </w:tc>
      </w:tr>
      <w:tr w14:paraId="1FF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22" w:type="dxa"/>
            <w:tcBorders>
              <w:top w:val="nil"/>
              <w:left w:val="nil"/>
              <w:bottom w:val="nil"/>
              <w:right w:val="nil"/>
            </w:tcBorders>
            <w:vAlign w:val="top"/>
          </w:tcPr>
          <w:p w14:paraId="4DB5ED23">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开户银行：</w:t>
            </w:r>
          </w:p>
        </w:tc>
        <w:tc>
          <w:tcPr>
            <w:tcW w:w="235" w:type="dxa"/>
            <w:tcBorders>
              <w:top w:val="nil"/>
              <w:left w:val="nil"/>
              <w:bottom w:val="nil"/>
              <w:right w:val="nil"/>
            </w:tcBorders>
            <w:vAlign w:val="top"/>
          </w:tcPr>
          <w:p w14:paraId="16F59ADA">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707ABE31">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开户银行：</w:t>
            </w:r>
          </w:p>
        </w:tc>
      </w:tr>
      <w:tr w14:paraId="3A4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22" w:type="dxa"/>
            <w:tcBorders>
              <w:top w:val="nil"/>
              <w:left w:val="nil"/>
              <w:bottom w:val="nil"/>
              <w:right w:val="nil"/>
            </w:tcBorders>
            <w:vAlign w:val="top"/>
          </w:tcPr>
          <w:p w14:paraId="0F62364A">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账号：</w:t>
            </w:r>
          </w:p>
        </w:tc>
        <w:tc>
          <w:tcPr>
            <w:tcW w:w="235" w:type="dxa"/>
            <w:tcBorders>
              <w:top w:val="nil"/>
              <w:left w:val="nil"/>
              <w:bottom w:val="nil"/>
              <w:right w:val="nil"/>
            </w:tcBorders>
            <w:vAlign w:val="top"/>
          </w:tcPr>
          <w:p w14:paraId="0E847ED9">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44C352DF">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账号：</w:t>
            </w:r>
          </w:p>
        </w:tc>
      </w:tr>
      <w:tr w14:paraId="5946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22" w:type="dxa"/>
            <w:tcBorders>
              <w:top w:val="nil"/>
              <w:left w:val="nil"/>
              <w:bottom w:val="nil"/>
              <w:right w:val="nil"/>
            </w:tcBorders>
            <w:vAlign w:val="top"/>
          </w:tcPr>
          <w:p w14:paraId="33C45407">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地址：</w:t>
            </w:r>
          </w:p>
        </w:tc>
        <w:tc>
          <w:tcPr>
            <w:tcW w:w="235" w:type="dxa"/>
            <w:tcBorders>
              <w:top w:val="nil"/>
              <w:left w:val="nil"/>
              <w:bottom w:val="nil"/>
              <w:right w:val="nil"/>
            </w:tcBorders>
            <w:vAlign w:val="top"/>
          </w:tcPr>
          <w:p w14:paraId="56F398B9">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011AE4AE">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地址：</w:t>
            </w:r>
          </w:p>
        </w:tc>
      </w:tr>
      <w:tr w14:paraId="6A1D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22" w:type="dxa"/>
            <w:tcBorders>
              <w:top w:val="nil"/>
              <w:left w:val="nil"/>
              <w:bottom w:val="nil"/>
              <w:right w:val="nil"/>
            </w:tcBorders>
            <w:vAlign w:val="top"/>
          </w:tcPr>
          <w:p w14:paraId="430ABBB4">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联系人电话：</w:t>
            </w:r>
          </w:p>
        </w:tc>
        <w:tc>
          <w:tcPr>
            <w:tcW w:w="235" w:type="dxa"/>
            <w:tcBorders>
              <w:top w:val="nil"/>
              <w:left w:val="nil"/>
              <w:bottom w:val="nil"/>
              <w:right w:val="nil"/>
            </w:tcBorders>
            <w:vAlign w:val="top"/>
          </w:tcPr>
          <w:p w14:paraId="42D7EEAF">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4021" w:type="dxa"/>
            <w:tcBorders>
              <w:top w:val="nil"/>
              <w:left w:val="nil"/>
              <w:bottom w:val="nil"/>
              <w:right w:val="nil"/>
            </w:tcBorders>
            <w:vAlign w:val="top"/>
          </w:tcPr>
          <w:p w14:paraId="355A1400">
            <w:pPr>
              <w:widowControl w:val="0"/>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联系人电话：</w:t>
            </w:r>
          </w:p>
        </w:tc>
      </w:tr>
    </w:tbl>
    <w:p w14:paraId="6DCB728D">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p>
    <w:p w14:paraId="16F435DD">
      <w:pPr>
        <w:rPr>
          <w:rFonts w:hint="eastAsia" w:ascii="宋体" w:hAnsi="宋体"/>
          <w:color w:val="auto"/>
          <w:kern w:val="0"/>
          <w:sz w:val="28"/>
          <w:szCs w:val="28"/>
          <w:highlight w:val="none"/>
        </w:rPr>
      </w:pPr>
    </w:p>
    <w:p w14:paraId="490CBE05">
      <w:pPr>
        <w:ind w:firstLine="640" w:firstLineChars="250"/>
        <w:rPr>
          <w:spacing w:val="8"/>
          <w:sz w:val="24"/>
          <w:highlight w:val="none"/>
        </w:rPr>
      </w:pPr>
      <w:bookmarkStart w:id="616" w:name="_Hlk85550422"/>
    </w:p>
    <w:p w14:paraId="0B09560C">
      <w:pPr>
        <w:pStyle w:val="25"/>
        <w:ind w:firstLine="210"/>
        <w:rPr>
          <w:highlight w:val="none"/>
        </w:rPr>
        <w:sectPr>
          <w:footerReference r:id="rId4" w:type="default"/>
          <w:pgSz w:w="11906" w:h="16838"/>
          <w:pgMar w:top="1440" w:right="1800" w:bottom="1440" w:left="1800" w:header="851" w:footer="992" w:gutter="0"/>
          <w:cols w:space="720" w:num="1"/>
          <w:docGrid w:type="lines" w:linePitch="312" w:charSpace="0"/>
        </w:sectPr>
      </w:pPr>
    </w:p>
    <w:bookmarkEnd w:id="616"/>
    <w:p w14:paraId="3AAA7534">
      <w:pPr>
        <w:spacing w:line="560" w:lineRule="exact"/>
        <w:ind w:firstLine="482" w:firstLineChars="200"/>
        <w:jc w:val="left"/>
        <w:rPr>
          <w:rFonts w:ascii="宋体" w:hAnsi="宋体" w:cs="宋体"/>
          <w:b/>
          <w:bCs/>
          <w:sz w:val="24"/>
          <w:highlight w:val="none"/>
        </w:rPr>
      </w:pPr>
      <w:r>
        <w:rPr>
          <w:rFonts w:hint="eastAsia" w:ascii="宋体" w:hAnsi="宋体" w:cs="宋体"/>
          <w:b/>
          <w:bCs/>
          <w:sz w:val="24"/>
          <w:highlight w:val="none"/>
        </w:rPr>
        <w:t>履约验收方案</w:t>
      </w:r>
    </w:p>
    <w:p w14:paraId="5BE2049B">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履约验收主体</w:t>
      </w:r>
    </w:p>
    <w:p w14:paraId="4E4DB468">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sym w:font="Wingdings 2" w:char="0052"/>
      </w:r>
      <w:r>
        <w:rPr>
          <w:rFonts w:hint="default" w:ascii="Times New Roman" w:hAnsi="Times New Roman" w:eastAsia="宋体" w:cs="Times New Roman"/>
          <w:sz w:val="24"/>
          <w:szCs w:val="24"/>
          <w:highlight w:val="none"/>
          <w:lang w:val="en-US" w:eastAsia="zh-CN"/>
        </w:rPr>
        <w:t>采购人：                         ；</w:t>
      </w:r>
    </w:p>
    <w:p w14:paraId="09A67E80">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□采购代理机构：          /        ；</w:t>
      </w:r>
    </w:p>
    <w:p w14:paraId="7CE8E798">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sym w:font="Wingdings 2" w:char="00A3"/>
      </w:r>
      <w:r>
        <w:rPr>
          <w:rFonts w:hint="default" w:ascii="Times New Roman" w:hAnsi="Times New Roman" w:eastAsia="宋体" w:cs="Times New Roman"/>
          <w:sz w:val="24"/>
          <w:szCs w:val="24"/>
          <w:highlight w:val="none"/>
          <w:lang w:val="en-US" w:eastAsia="zh-CN"/>
        </w:rPr>
        <w:t>本项目的其他供应商：    /        ；</w:t>
      </w:r>
    </w:p>
    <w:p w14:paraId="163A71C1">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□第三方专业机构：        /        ；</w:t>
      </w:r>
    </w:p>
    <w:p w14:paraId="617B2ED9">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□专家：                  /        ；</w:t>
      </w:r>
    </w:p>
    <w:p w14:paraId="238E63F6">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□服务对象：              /        ；</w:t>
      </w:r>
    </w:p>
    <w:p w14:paraId="149B7061">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□其他：                  /        。</w:t>
      </w:r>
    </w:p>
    <w:p w14:paraId="45CCC202">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履约验收时间</w:t>
      </w:r>
    </w:p>
    <w:p w14:paraId="0EF4346E">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合同执行后每月考核验收。</w:t>
      </w:r>
    </w:p>
    <w:p w14:paraId="28E9ACFA">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履约验收方式</w:t>
      </w:r>
    </w:p>
    <w:p w14:paraId="4B9BF1A3">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按验收小组验收程序进行验收。</w:t>
      </w:r>
    </w:p>
    <w:p w14:paraId="7473DFF7">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履约验收程序</w:t>
      </w:r>
    </w:p>
    <w:p w14:paraId="7EDD360B">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合格，符合招投标文件和合同各项规定。</w:t>
      </w:r>
    </w:p>
    <w:p w14:paraId="4F89C1D5">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履约验收内容</w:t>
      </w:r>
    </w:p>
    <w:p w14:paraId="0932CEF7">
      <w:pPr>
        <w:spacing w:line="560" w:lineRule="exact"/>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合同中约定的服务人员及服务内容。</w:t>
      </w:r>
    </w:p>
    <w:p w14:paraId="16025B8F">
      <w:pPr>
        <w:spacing w:line="560" w:lineRule="exact"/>
        <w:ind w:firstLine="480" w:firstLineChars="200"/>
        <w:jc w:val="left"/>
        <w:rPr>
          <w:rFonts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br w:type="page"/>
      </w:r>
    </w:p>
    <w:p w14:paraId="3F7E4A7B">
      <w:pPr>
        <w:spacing w:line="360" w:lineRule="auto"/>
        <w:rPr>
          <w:rFonts w:ascii="宋体" w:hAnsi="宋体" w:cs="宋体"/>
          <w:sz w:val="28"/>
          <w:szCs w:val="28"/>
          <w:highlight w:val="none"/>
        </w:rPr>
      </w:pPr>
      <w:r>
        <w:rPr>
          <w:rFonts w:hint="eastAsia" w:ascii="宋体" w:hAnsi="宋体" w:cs="宋体"/>
          <w:sz w:val="28"/>
          <w:szCs w:val="28"/>
          <w:highlight w:val="none"/>
        </w:rPr>
        <w:t>附件：</w:t>
      </w:r>
    </w:p>
    <w:p w14:paraId="084B6E80">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河南省政府采购合同融资政策告知函</w:t>
      </w:r>
    </w:p>
    <w:p w14:paraId="239E8F44">
      <w:pPr>
        <w:spacing w:line="360" w:lineRule="auto"/>
        <w:rPr>
          <w:rFonts w:ascii="宋体" w:hAnsi="宋体" w:cs="宋体"/>
          <w:sz w:val="24"/>
          <w:highlight w:val="none"/>
        </w:rPr>
      </w:pPr>
      <w:r>
        <w:rPr>
          <w:rFonts w:hint="eastAsia" w:ascii="宋体" w:hAnsi="宋体" w:cs="宋体"/>
          <w:sz w:val="28"/>
          <w:szCs w:val="28"/>
          <w:highlight w:val="none"/>
        </w:rPr>
        <w:t> </w:t>
      </w:r>
    </w:p>
    <w:p w14:paraId="025A4A60">
      <w:pPr>
        <w:spacing w:line="360" w:lineRule="auto"/>
        <w:rPr>
          <w:rFonts w:ascii="宋体" w:hAnsi="宋体" w:cs="宋体"/>
          <w:sz w:val="24"/>
          <w:highlight w:val="none"/>
        </w:rPr>
      </w:pPr>
      <w:r>
        <w:rPr>
          <w:rFonts w:hint="eastAsia" w:ascii="宋体" w:hAnsi="宋体" w:cs="宋体"/>
          <w:sz w:val="24"/>
          <w:highlight w:val="none"/>
        </w:rPr>
        <w:t>各供应商：</w:t>
      </w:r>
    </w:p>
    <w:p w14:paraId="759172A2">
      <w:pPr>
        <w:spacing w:line="360" w:lineRule="auto"/>
        <w:ind w:firstLine="480" w:firstLineChars="200"/>
        <w:rPr>
          <w:rFonts w:ascii="宋体" w:hAnsi="宋体" w:cs="宋体"/>
          <w:sz w:val="24"/>
          <w:highlight w:val="none"/>
        </w:rPr>
      </w:pPr>
      <w:r>
        <w:rPr>
          <w:rFonts w:hint="eastAsia" w:ascii="宋体" w:hAnsi="宋体" w:cs="宋体"/>
          <w:sz w:val="24"/>
          <w:highlight w:val="none"/>
        </w:rPr>
        <w:t>欢迎贵公司参与河南省政府采购活动！</w:t>
      </w:r>
    </w:p>
    <w:p w14:paraId="351F4F94">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2E71575">
      <w:pPr>
        <w:spacing w:line="360" w:lineRule="auto"/>
        <w:ind w:firstLine="480" w:firstLineChars="200"/>
        <w:rPr>
          <w:rFonts w:ascii="宋体" w:hAnsi="宋体" w:cs="宋体"/>
          <w:sz w:val="24"/>
          <w:highlight w:val="none"/>
        </w:rPr>
      </w:pPr>
      <w:r>
        <w:rPr>
          <w:rFonts w:hint="eastAsia" w:ascii="宋体" w:hAnsi="宋体" w:cs="宋体"/>
          <w:sz w:val="24"/>
          <w:highlight w:val="none"/>
        </w:rPr>
        <w:t>贷款渠道和提供贷款的金融机构，可在河南省政府采购网“河南省政府采购合同融资平台”查询联系。</w:t>
      </w:r>
    </w:p>
    <w:p w14:paraId="3BCE10B9">
      <w:pPr>
        <w:spacing w:line="360" w:lineRule="auto"/>
        <w:rPr>
          <w:rFonts w:ascii="宋体" w:hAnsi="宋体" w:cs="宋体"/>
          <w:sz w:val="24"/>
          <w:highlight w:val="none"/>
        </w:rPr>
      </w:pPr>
    </w:p>
    <w:p w14:paraId="3F55D8C8">
      <w:pPr>
        <w:spacing w:line="360" w:lineRule="auto"/>
        <w:rPr>
          <w:rFonts w:ascii="宋体" w:hAnsi="宋体" w:cs="宋体"/>
          <w:sz w:val="24"/>
          <w:highlight w:val="none"/>
        </w:rPr>
      </w:pPr>
    </w:p>
    <w:p w14:paraId="372DEA2D">
      <w:pPr>
        <w:pStyle w:val="8"/>
        <w:spacing w:line="360" w:lineRule="auto"/>
        <w:rPr>
          <w:rFonts w:ascii="宋体" w:hAnsi="宋体" w:cs="宋体"/>
          <w:highlight w:val="none"/>
        </w:rPr>
      </w:pPr>
    </w:p>
    <w:p w14:paraId="54539976">
      <w:pPr>
        <w:pStyle w:val="8"/>
        <w:spacing w:line="360" w:lineRule="auto"/>
        <w:rPr>
          <w:rFonts w:ascii="宋体" w:hAnsi="宋体" w:cs="宋体"/>
          <w:highlight w:val="none"/>
        </w:rPr>
      </w:pPr>
      <w:r>
        <w:rPr>
          <w:rFonts w:hint="eastAsia" w:ascii="宋体" w:hAnsi="宋体" w:cs="宋体"/>
          <w:highlight w:val="none"/>
        </w:rPr>
        <w:br w:type="page"/>
      </w:r>
    </w:p>
    <w:p w14:paraId="6B98A2A6">
      <w:pPr>
        <w:pStyle w:val="8"/>
        <w:spacing w:line="360" w:lineRule="auto"/>
        <w:rPr>
          <w:rFonts w:ascii="宋体" w:hAnsi="宋体" w:cs="宋体"/>
          <w:highlight w:val="none"/>
        </w:rPr>
      </w:pPr>
    </w:p>
    <w:p w14:paraId="36421927">
      <w:pPr>
        <w:pStyle w:val="8"/>
        <w:spacing w:line="360" w:lineRule="auto"/>
        <w:rPr>
          <w:rFonts w:ascii="宋体" w:hAnsi="宋体" w:cs="宋体"/>
          <w:highlight w:val="none"/>
        </w:rPr>
      </w:pPr>
    </w:p>
    <w:p w14:paraId="12197CB8">
      <w:pPr>
        <w:pStyle w:val="8"/>
        <w:spacing w:line="360" w:lineRule="auto"/>
        <w:rPr>
          <w:rFonts w:ascii="宋体" w:hAnsi="宋体" w:cs="宋体"/>
          <w:highlight w:val="none"/>
        </w:rPr>
      </w:pPr>
    </w:p>
    <w:p w14:paraId="503506A9">
      <w:pPr>
        <w:pStyle w:val="8"/>
        <w:spacing w:line="360" w:lineRule="auto"/>
        <w:rPr>
          <w:rFonts w:ascii="宋体" w:hAnsi="宋体" w:cs="宋体"/>
          <w:highlight w:val="none"/>
        </w:rPr>
      </w:pPr>
    </w:p>
    <w:p w14:paraId="454608B1">
      <w:pPr>
        <w:pStyle w:val="8"/>
        <w:spacing w:line="360" w:lineRule="auto"/>
        <w:rPr>
          <w:rFonts w:ascii="宋体" w:hAnsi="宋体" w:cs="宋体"/>
          <w:highlight w:val="none"/>
        </w:rPr>
      </w:pPr>
    </w:p>
    <w:p w14:paraId="69E37396">
      <w:pPr>
        <w:pStyle w:val="8"/>
        <w:spacing w:line="360" w:lineRule="auto"/>
        <w:rPr>
          <w:rFonts w:ascii="宋体" w:hAnsi="宋体" w:cs="宋体"/>
          <w:highlight w:val="none"/>
        </w:rPr>
      </w:pPr>
    </w:p>
    <w:p w14:paraId="69A0B83D">
      <w:pPr>
        <w:pStyle w:val="8"/>
        <w:spacing w:line="360" w:lineRule="auto"/>
        <w:rPr>
          <w:rFonts w:ascii="宋体" w:hAnsi="宋体" w:cs="宋体"/>
          <w:highlight w:val="none"/>
        </w:rPr>
      </w:pPr>
    </w:p>
    <w:p w14:paraId="5197B3F3">
      <w:pPr>
        <w:pStyle w:val="3"/>
        <w:tabs>
          <w:tab w:val="left" w:pos="0"/>
        </w:tabs>
        <w:autoSpaceDE w:val="0"/>
        <w:autoSpaceDN w:val="0"/>
        <w:adjustRightInd w:val="0"/>
        <w:spacing w:before="0" w:after="0" w:line="360" w:lineRule="auto"/>
        <w:jc w:val="center"/>
        <w:rPr>
          <w:rFonts w:ascii="宋体" w:hAnsi="宋体" w:cs="宋体"/>
          <w:highlight w:val="none"/>
        </w:rPr>
      </w:pPr>
      <w:r>
        <w:rPr>
          <w:rFonts w:hint="eastAsia" w:ascii="宋体" w:hAnsi="宋体" w:cs="宋体"/>
          <w:highlight w:val="none"/>
        </w:rPr>
        <w:t>　</w:t>
      </w:r>
      <w:bookmarkStart w:id="617" w:name="_Toc27702"/>
      <w:bookmarkStart w:id="618" w:name="_Toc6564"/>
      <w:bookmarkStart w:id="619" w:name="_Toc82456896"/>
      <w:bookmarkStart w:id="620" w:name="_Toc25001"/>
      <w:r>
        <w:rPr>
          <w:rFonts w:hint="eastAsia" w:ascii="宋体" w:hAnsi="宋体" w:cs="宋体"/>
          <w:highlight w:val="none"/>
        </w:rPr>
        <w:t>第七章  响应文件格式</w:t>
      </w:r>
      <w:bookmarkEnd w:id="617"/>
      <w:bookmarkEnd w:id="618"/>
      <w:bookmarkEnd w:id="619"/>
      <w:bookmarkEnd w:id="620"/>
    </w:p>
    <w:p w14:paraId="5F7F0835">
      <w:pPr>
        <w:spacing w:line="360" w:lineRule="auto"/>
        <w:ind w:left="734" w:hanging="734" w:hangingChars="306"/>
        <w:rPr>
          <w:rFonts w:ascii="宋体" w:hAnsi="宋体" w:cs="宋体"/>
          <w:sz w:val="24"/>
          <w:highlight w:val="none"/>
        </w:rPr>
      </w:pPr>
    </w:p>
    <w:p w14:paraId="4F42571F">
      <w:pPr>
        <w:spacing w:line="360" w:lineRule="auto"/>
        <w:ind w:left="734" w:hanging="734" w:hangingChars="306"/>
        <w:rPr>
          <w:rFonts w:ascii="宋体" w:hAnsi="宋体" w:cs="宋体"/>
          <w:sz w:val="24"/>
          <w:highlight w:val="none"/>
        </w:rPr>
      </w:pPr>
    </w:p>
    <w:p w14:paraId="70704908">
      <w:pPr>
        <w:spacing w:line="360" w:lineRule="auto"/>
        <w:ind w:left="734" w:hanging="734" w:hangingChars="306"/>
        <w:rPr>
          <w:rFonts w:ascii="宋体" w:hAnsi="宋体" w:cs="宋体"/>
          <w:sz w:val="24"/>
          <w:highlight w:val="none"/>
        </w:rPr>
      </w:pPr>
    </w:p>
    <w:p w14:paraId="57FF1B5E">
      <w:pPr>
        <w:spacing w:line="360" w:lineRule="auto"/>
        <w:ind w:left="734" w:hanging="734" w:hangingChars="306"/>
        <w:rPr>
          <w:rFonts w:ascii="宋体" w:hAnsi="宋体" w:cs="宋体"/>
          <w:sz w:val="24"/>
          <w:highlight w:val="none"/>
        </w:rPr>
      </w:pPr>
    </w:p>
    <w:p w14:paraId="4721E4B3">
      <w:pPr>
        <w:spacing w:line="360" w:lineRule="auto"/>
        <w:ind w:left="734" w:hanging="734" w:hangingChars="306"/>
        <w:rPr>
          <w:rFonts w:ascii="宋体" w:hAnsi="宋体" w:cs="宋体"/>
          <w:sz w:val="24"/>
          <w:highlight w:val="none"/>
        </w:rPr>
      </w:pPr>
    </w:p>
    <w:p w14:paraId="25C4D0C8">
      <w:pPr>
        <w:spacing w:line="360" w:lineRule="auto"/>
        <w:ind w:left="734" w:hanging="734" w:hangingChars="306"/>
        <w:rPr>
          <w:rFonts w:ascii="宋体" w:hAnsi="宋体" w:cs="宋体"/>
          <w:sz w:val="24"/>
          <w:highlight w:val="none"/>
        </w:rPr>
      </w:pPr>
    </w:p>
    <w:p w14:paraId="61A9A584">
      <w:pPr>
        <w:spacing w:line="360" w:lineRule="auto"/>
        <w:ind w:left="734" w:hanging="734" w:hangingChars="306"/>
        <w:rPr>
          <w:rFonts w:ascii="宋体" w:hAnsi="宋体" w:cs="宋体"/>
          <w:sz w:val="24"/>
          <w:highlight w:val="none"/>
        </w:rPr>
      </w:pPr>
    </w:p>
    <w:p w14:paraId="35B111D6">
      <w:pPr>
        <w:spacing w:line="360" w:lineRule="auto"/>
        <w:ind w:left="734" w:hanging="734" w:hangingChars="306"/>
        <w:rPr>
          <w:rFonts w:ascii="宋体" w:hAnsi="宋体" w:cs="宋体"/>
          <w:sz w:val="24"/>
          <w:highlight w:val="none"/>
        </w:rPr>
      </w:pPr>
    </w:p>
    <w:p w14:paraId="4F5FB8D0">
      <w:pPr>
        <w:spacing w:line="360" w:lineRule="auto"/>
        <w:ind w:left="734" w:hanging="734" w:hangingChars="306"/>
        <w:rPr>
          <w:rFonts w:ascii="宋体" w:hAnsi="宋体" w:cs="宋体"/>
          <w:sz w:val="24"/>
          <w:highlight w:val="none"/>
        </w:rPr>
      </w:pPr>
    </w:p>
    <w:p w14:paraId="6F9B6708">
      <w:pPr>
        <w:spacing w:line="360" w:lineRule="auto"/>
        <w:ind w:left="734" w:hanging="734" w:hangingChars="306"/>
        <w:rPr>
          <w:rFonts w:ascii="宋体" w:hAnsi="宋体" w:cs="宋体"/>
          <w:sz w:val="24"/>
          <w:highlight w:val="none"/>
        </w:rPr>
      </w:pPr>
    </w:p>
    <w:p w14:paraId="05ED43D4">
      <w:pPr>
        <w:spacing w:line="360" w:lineRule="auto"/>
        <w:ind w:left="734" w:hanging="734" w:hangingChars="306"/>
        <w:rPr>
          <w:rFonts w:ascii="宋体" w:hAnsi="宋体" w:cs="宋体"/>
          <w:sz w:val="24"/>
          <w:highlight w:val="none"/>
        </w:rPr>
      </w:pPr>
    </w:p>
    <w:p w14:paraId="4D16E81D">
      <w:pPr>
        <w:spacing w:line="360" w:lineRule="auto"/>
        <w:ind w:left="734" w:hanging="734" w:hangingChars="306"/>
        <w:rPr>
          <w:rFonts w:ascii="宋体" w:hAnsi="宋体" w:cs="宋体"/>
          <w:sz w:val="24"/>
          <w:highlight w:val="none"/>
        </w:rPr>
      </w:pPr>
    </w:p>
    <w:p w14:paraId="29A63AF1">
      <w:pPr>
        <w:spacing w:line="360" w:lineRule="auto"/>
        <w:ind w:left="734" w:hanging="734" w:hangingChars="306"/>
        <w:rPr>
          <w:rFonts w:ascii="宋体" w:hAnsi="宋体" w:cs="宋体"/>
          <w:sz w:val="24"/>
          <w:highlight w:val="none"/>
        </w:rPr>
      </w:pPr>
    </w:p>
    <w:p w14:paraId="7B45535B">
      <w:pPr>
        <w:spacing w:line="360" w:lineRule="auto"/>
        <w:ind w:left="734" w:hanging="734" w:hangingChars="306"/>
        <w:rPr>
          <w:rFonts w:ascii="宋体" w:hAnsi="宋体" w:cs="宋体"/>
          <w:sz w:val="24"/>
          <w:highlight w:val="none"/>
        </w:rPr>
      </w:pPr>
    </w:p>
    <w:p w14:paraId="0FCD39F5">
      <w:pPr>
        <w:spacing w:line="360" w:lineRule="auto"/>
        <w:ind w:left="734" w:hanging="734" w:hangingChars="306"/>
        <w:rPr>
          <w:rFonts w:ascii="宋体" w:hAnsi="宋体" w:cs="宋体"/>
          <w:sz w:val="24"/>
          <w:highlight w:val="none"/>
        </w:rPr>
      </w:pPr>
    </w:p>
    <w:p w14:paraId="03B5DFA7">
      <w:pPr>
        <w:spacing w:line="360" w:lineRule="auto"/>
        <w:ind w:left="734" w:hanging="734" w:hangingChars="306"/>
        <w:rPr>
          <w:rFonts w:ascii="宋体" w:hAnsi="宋体" w:cs="宋体"/>
          <w:sz w:val="24"/>
          <w:highlight w:val="none"/>
        </w:rPr>
      </w:pPr>
    </w:p>
    <w:p w14:paraId="43F5CAC9">
      <w:pPr>
        <w:spacing w:line="360" w:lineRule="auto"/>
        <w:ind w:left="734" w:hanging="734" w:hangingChars="306"/>
        <w:rPr>
          <w:rFonts w:ascii="宋体" w:hAnsi="宋体" w:cs="宋体"/>
          <w:sz w:val="24"/>
          <w:highlight w:val="none"/>
        </w:rPr>
      </w:pPr>
    </w:p>
    <w:p w14:paraId="2C602759">
      <w:pPr>
        <w:spacing w:line="360" w:lineRule="auto"/>
        <w:ind w:left="734" w:hanging="734" w:hangingChars="306"/>
        <w:rPr>
          <w:rFonts w:ascii="宋体" w:hAnsi="宋体" w:cs="宋体"/>
          <w:sz w:val="24"/>
          <w:highlight w:val="none"/>
        </w:rPr>
      </w:pPr>
    </w:p>
    <w:p w14:paraId="0E375184">
      <w:pPr>
        <w:spacing w:line="360" w:lineRule="auto"/>
        <w:ind w:left="734" w:hanging="734" w:hangingChars="306"/>
        <w:rPr>
          <w:rFonts w:ascii="宋体" w:hAnsi="宋体" w:cs="宋体"/>
          <w:sz w:val="24"/>
          <w:highlight w:val="none"/>
        </w:rPr>
      </w:pPr>
    </w:p>
    <w:p w14:paraId="3EB4DBFC">
      <w:pPr>
        <w:spacing w:line="360" w:lineRule="auto"/>
        <w:ind w:left="734" w:hanging="734" w:hangingChars="306"/>
        <w:rPr>
          <w:rFonts w:ascii="宋体" w:hAnsi="宋体" w:cs="宋体"/>
          <w:sz w:val="24"/>
          <w:highlight w:val="none"/>
        </w:rPr>
      </w:pPr>
    </w:p>
    <w:p w14:paraId="115BF676">
      <w:pPr>
        <w:spacing w:line="360" w:lineRule="auto"/>
        <w:ind w:left="734" w:hanging="734" w:hangingChars="306"/>
        <w:rPr>
          <w:rFonts w:ascii="宋体" w:hAnsi="宋体" w:cs="宋体"/>
          <w:sz w:val="24"/>
          <w:highlight w:val="none"/>
        </w:rPr>
      </w:pPr>
    </w:p>
    <w:p w14:paraId="2266A18C">
      <w:pPr>
        <w:spacing w:line="360" w:lineRule="auto"/>
        <w:ind w:left="734" w:hanging="734" w:hangingChars="306"/>
        <w:rPr>
          <w:rFonts w:ascii="宋体" w:hAnsi="宋体" w:cs="宋体"/>
          <w:sz w:val="24"/>
          <w:highlight w:val="none"/>
        </w:rPr>
      </w:pPr>
    </w:p>
    <w:p w14:paraId="082D2944">
      <w:pPr>
        <w:spacing w:line="360" w:lineRule="auto"/>
        <w:ind w:left="734" w:hanging="734" w:hangingChars="306"/>
        <w:rPr>
          <w:rFonts w:ascii="宋体" w:hAnsi="宋体" w:cs="宋体"/>
          <w:sz w:val="24"/>
          <w:highlight w:val="none"/>
        </w:rPr>
      </w:pPr>
      <w:r>
        <w:rPr>
          <w:rFonts w:hint="eastAsia" w:ascii="宋体" w:hAnsi="宋体" w:cs="宋体"/>
          <w:sz w:val="24"/>
          <w:highlight w:val="none"/>
        </w:rPr>
        <w:t>响应文件封面格式</w:t>
      </w:r>
    </w:p>
    <w:p w14:paraId="7FE5F373">
      <w:pPr>
        <w:spacing w:line="360" w:lineRule="auto"/>
        <w:ind w:left="735" w:leftChars="350" w:firstLine="120" w:firstLineChars="50"/>
        <w:rPr>
          <w:rFonts w:ascii="宋体" w:hAnsi="宋体" w:cs="宋体"/>
          <w:sz w:val="24"/>
          <w:highlight w:val="none"/>
        </w:rPr>
      </w:pPr>
    </w:p>
    <w:p w14:paraId="09DF0D05">
      <w:pPr>
        <w:pStyle w:val="10"/>
        <w:ind w:firstLine="868"/>
        <w:jc w:val="center"/>
        <w:rPr>
          <w:rFonts w:ascii="宋体" w:hAnsi="宋体" w:cs="宋体"/>
          <w:b/>
          <w:sz w:val="44"/>
          <w:highlight w:val="none"/>
        </w:rPr>
      </w:pPr>
      <w:r>
        <w:rPr>
          <w:rFonts w:hint="eastAsia" w:ascii="宋体" w:hAnsi="宋体" w:cs="宋体"/>
          <w:b/>
          <w:spacing w:val="-8"/>
          <w:sz w:val="48"/>
          <w:szCs w:val="28"/>
          <w:highlight w:val="none"/>
          <w:u w:val="single"/>
          <w:lang w:val="en-US" w:eastAsia="zh-CN"/>
        </w:rPr>
        <w:t xml:space="preserve">             </w:t>
      </w:r>
      <w:r>
        <w:rPr>
          <w:rFonts w:hint="eastAsia" w:ascii="宋体" w:hAnsi="宋体" w:cs="宋体"/>
          <w:b/>
          <w:spacing w:val="-8"/>
          <w:sz w:val="48"/>
          <w:szCs w:val="28"/>
          <w:highlight w:val="none"/>
        </w:rPr>
        <w:t>项目</w:t>
      </w:r>
    </w:p>
    <w:p w14:paraId="1DC56503">
      <w:pPr>
        <w:spacing w:line="360" w:lineRule="auto"/>
        <w:jc w:val="center"/>
        <w:rPr>
          <w:rFonts w:ascii="宋体" w:hAnsi="宋体" w:cs="宋体"/>
          <w:b/>
          <w:sz w:val="50"/>
          <w:szCs w:val="50"/>
          <w:highlight w:val="none"/>
        </w:rPr>
      </w:pPr>
    </w:p>
    <w:p w14:paraId="2E4932FF">
      <w:pPr>
        <w:tabs>
          <w:tab w:val="left" w:pos="360"/>
        </w:tabs>
        <w:spacing w:line="360" w:lineRule="auto"/>
        <w:jc w:val="center"/>
        <w:rPr>
          <w:rFonts w:ascii="宋体" w:hAnsi="宋体" w:cs="宋体"/>
          <w:sz w:val="32"/>
          <w:szCs w:val="32"/>
          <w:highlight w:val="none"/>
        </w:rPr>
      </w:pPr>
    </w:p>
    <w:p w14:paraId="59BCDF4E">
      <w:pPr>
        <w:tabs>
          <w:tab w:val="left" w:pos="55"/>
        </w:tabs>
        <w:jc w:val="left"/>
        <w:rPr>
          <w:rFonts w:ascii="宋体" w:hAnsi="宋体" w:cs="宋体"/>
          <w:b/>
          <w:w w:val="150"/>
          <w:sz w:val="48"/>
          <w:szCs w:val="48"/>
          <w:highlight w:val="none"/>
        </w:rPr>
      </w:pPr>
      <w:r>
        <w:rPr>
          <w:rFonts w:hint="eastAsia" w:ascii="宋体" w:hAnsi="宋体" w:cs="宋体"/>
          <w:b/>
          <w:w w:val="150"/>
          <w:sz w:val="84"/>
          <w:highlight w:val="none"/>
        </w:rPr>
        <w:tab/>
      </w:r>
    </w:p>
    <w:p w14:paraId="46D184F9">
      <w:pPr>
        <w:jc w:val="center"/>
        <w:rPr>
          <w:rFonts w:ascii="宋体" w:hAnsi="宋体" w:cs="宋体"/>
          <w:sz w:val="80"/>
          <w:szCs w:val="84"/>
          <w:highlight w:val="none"/>
        </w:rPr>
      </w:pPr>
      <w:r>
        <w:rPr>
          <w:rFonts w:hint="eastAsia" w:ascii="宋体" w:hAnsi="宋体" w:cs="宋体"/>
          <w:sz w:val="80"/>
          <w:szCs w:val="84"/>
          <w:highlight w:val="none"/>
        </w:rPr>
        <w:t>响 应 文 件</w:t>
      </w:r>
    </w:p>
    <w:p w14:paraId="0065FC4C">
      <w:pPr>
        <w:spacing w:line="360" w:lineRule="auto"/>
        <w:jc w:val="center"/>
        <w:rPr>
          <w:rFonts w:ascii="宋体" w:hAnsi="宋体" w:cs="宋体"/>
          <w:b/>
          <w:bCs/>
          <w:sz w:val="28"/>
          <w:szCs w:val="28"/>
          <w:highlight w:val="none"/>
        </w:rPr>
      </w:pPr>
    </w:p>
    <w:p w14:paraId="62F40B0D">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 xml:space="preserve">项目编号：豫财磋商采购-2026-144 </w:t>
      </w:r>
    </w:p>
    <w:p w14:paraId="5A035580">
      <w:pPr>
        <w:spacing w:line="360" w:lineRule="auto"/>
        <w:jc w:val="center"/>
        <w:rPr>
          <w:rFonts w:ascii="宋体" w:hAnsi="宋体" w:cs="宋体"/>
          <w:b/>
          <w:bCs/>
          <w:szCs w:val="21"/>
          <w:highlight w:val="none"/>
        </w:rPr>
      </w:pPr>
    </w:p>
    <w:p w14:paraId="332B3206">
      <w:pPr>
        <w:spacing w:line="360" w:lineRule="auto"/>
        <w:jc w:val="center"/>
        <w:rPr>
          <w:rFonts w:ascii="宋体" w:hAnsi="宋体" w:cs="宋体"/>
          <w:b/>
          <w:sz w:val="32"/>
          <w:highlight w:val="none"/>
        </w:rPr>
      </w:pPr>
    </w:p>
    <w:p w14:paraId="4545A6EB">
      <w:pPr>
        <w:spacing w:line="360" w:lineRule="auto"/>
        <w:jc w:val="center"/>
        <w:rPr>
          <w:rFonts w:ascii="宋体" w:hAnsi="宋体" w:cs="宋体"/>
          <w:b/>
          <w:sz w:val="32"/>
          <w:highlight w:val="none"/>
        </w:rPr>
      </w:pPr>
    </w:p>
    <w:p w14:paraId="32B1398D">
      <w:pPr>
        <w:pStyle w:val="10"/>
        <w:ind w:firstLine="363"/>
        <w:rPr>
          <w:highlight w:val="none"/>
        </w:rPr>
      </w:pPr>
    </w:p>
    <w:p w14:paraId="63418080">
      <w:pPr>
        <w:spacing w:line="360" w:lineRule="auto"/>
        <w:jc w:val="center"/>
        <w:rPr>
          <w:rFonts w:ascii="宋体" w:hAnsi="宋体" w:cs="宋体"/>
          <w:b/>
          <w:sz w:val="32"/>
          <w:highlight w:val="none"/>
        </w:rPr>
      </w:pPr>
    </w:p>
    <w:p w14:paraId="784CFB0A">
      <w:pPr>
        <w:spacing w:line="360" w:lineRule="auto"/>
        <w:jc w:val="center"/>
        <w:rPr>
          <w:rFonts w:ascii="宋体" w:hAnsi="宋体" w:cs="宋体"/>
          <w:b/>
          <w:sz w:val="32"/>
          <w:highlight w:val="none"/>
        </w:rPr>
      </w:pPr>
    </w:p>
    <w:p w14:paraId="1AF84E03">
      <w:pPr>
        <w:spacing w:line="360" w:lineRule="auto"/>
        <w:ind w:firstLine="562" w:firstLineChars="200"/>
        <w:rPr>
          <w:rFonts w:ascii="宋体" w:hAnsi="宋体" w:cs="宋体"/>
          <w:b/>
          <w:sz w:val="28"/>
          <w:szCs w:val="28"/>
          <w:highlight w:val="none"/>
        </w:rPr>
      </w:pPr>
    </w:p>
    <w:p w14:paraId="5DDEF6BE">
      <w:pPr>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供应商：（加盖企业电子签章）</w:t>
      </w:r>
    </w:p>
    <w:p w14:paraId="6DE6B124">
      <w:pPr>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法定代表人（或非法人组织负责人）：（加盖个人电子签章）</w:t>
      </w:r>
    </w:p>
    <w:p w14:paraId="3D1DEF3D">
      <w:pPr>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日  期：     年    月    日</w:t>
      </w:r>
    </w:p>
    <w:p w14:paraId="54AAE2BE">
      <w:pPr>
        <w:spacing w:line="360" w:lineRule="auto"/>
        <w:ind w:left="735" w:leftChars="350" w:firstLine="120" w:firstLineChars="50"/>
        <w:rPr>
          <w:rFonts w:ascii="宋体" w:hAnsi="宋体" w:cs="宋体"/>
          <w:sz w:val="24"/>
          <w:highlight w:val="none"/>
        </w:rPr>
      </w:pPr>
    </w:p>
    <w:p w14:paraId="7698E3BA">
      <w:pPr>
        <w:spacing w:line="360" w:lineRule="auto"/>
        <w:ind w:left="735" w:leftChars="350" w:firstLine="120" w:firstLineChars="50"/>
        <w:rPr>
          <w:rFonts w:ascii="宋体" w:hAnsi="宋体" w:cs="宋体"/>
          <w:sz w:val="24"/>
          <w:highlight w:val="none"/>
        </w:rPr>
      </w:pPr>
    </w:p>
    <w:p w14:paraId="0122DFD7">
      <w:pPr>
        <w:spacing w:line="360" w:lineRule="auto"/>
        <w:ind w:left="735" w:leftChars="350" w:firstLine="120" w:firstLineChars="50"/>
        <w:rPr>
          <w:rFonts w:ascii="宋体" w:hAnsi="宋体" w:cs="宋体"/>
          <w:sz w:val="24"/>
          <w:highlight w:val="none"/>
        </w:rPr>
      </w:pPr>
    </w:p>
    <w:p w14:paraId="1BE236A1">
      <w:pPr>
        <w:spacing w:line="360" w:lineRule="auto"/>
        <w:ind w:left="735" w:leftChars="350" w:firstLine="120" w:firstLineChars="50"/>
        <w:rPr>
          <w:rFonts w:ascii="宋体" w:hAnsi="宋体" w:cs="宋体"/>
          <w:sz w:val="24"/>
          <w:highlight w:val="none"/>
        </w:rPr>
      </w:pPr>
    </w:p>
    <w:p w14:paraId="78E3DF01">
      <w:pPr>
        <w:spacing w:line="360" w:lineRule="auto"/>
        <w:ind w:left="735" w:leftChars="350" w:firstLine="120" w:firstLineChars="50"/>
        <w:rPr>
          <w:rFonts w:ascii="宋体" w:hAnsi="宋体" w:cs="宋体"/>
          <w:sz w:val="24"/>
          <w:highlight w:val="none"/>
        </w:rPr>
      </w:pPr>
    </w:p>
    <w:p w14:paraId="409E1D9C">
      <w:pPr>
        <w:spacing w:before="40"/>
        <w:ind w:left="709" w:right="884"/>
        <w:jc w:val="center"/>
        <w:rPr>
          <w:b/>
          <w:sz w:val="32"/>
          <w:highlight w:val="none"/>
        </w:rPr>
      </w:pPr>
      <w:r>
        <w:rPr>
          <w:b/>
          <w:sz w:val="32"/>
          <w:highlight w:val="none"/>
        </w:rPr>
        <w:t>一、磋商函及磋商函附录</w:t>
      </w:r>
    </w:p>
    <w:p w14:paraId="6052A685">
      <w:pPr>
        <w:pStyle w:val="10"/>
        <w:spacing w:before="5"/>
        <w:ind w:firstLine="191"/>
        <w:rPr>
          <w:b/>
          <w:sz w:val="11"/>
          <w:highlight w:val="none"/>
        </w:rPr>
      </w:pPr>
    </w:p>
    <w:p w14:paraId="4BF3EB72">
      <w:pPr>
        <w:spacing w:before="67"/>
        <w:ind w:left="670" w:right="884"/>
        <w:jc w:val="center"/>
        <w:rPr>
          <w:b/>
          <w:sz w:val="24"/>
          <w:highlight w:val="none"/>
        </w:rPr>
      </w:pPr>
      <w:r>
        <w:rPr>
          <w:b/>
          <w:sz w:val="24"/>
          <w:highlight w:val="none"/>
        </w:rPr>
        <w:t>（一）磋商函</w:t>
      </w:r>
    </w:p>
    <w:p w14:paraId="47A69AF3">
      <w:pPr>
        <w:pStyle w:val="10"/>
        <w:spacing w:before="158"/>
        <w:ind w:firstLine="415"/>
        <w:rPr>
          <w:highlight w:val="none"/>
        </w:rPr>
      </w:pPr>
      <w:r>
        <w:rPr>
          <w:sz w:val="24"/>
          <w:szCs w:val="24"/>
          <w:highlight w:val="none"/>
          <w:u w:val="single"/>
        </w:rPr>
        <w:t>河南省生态环境厅（采购人名称）：</w:t>
      </w:r>
    </w:p>
    <w:p w14:paraId="4E92DC2D">
      <w:pPr>
        <w:pStyle w:val="45"/>
        <w:numPr>
          <w:ilvl w:val="1"/>
          <w:numId w:val="24"/>
        </w:numPr>
        <w:spacing w:before="160" w:line="360" w:lineRule="auto"/>
        <w:ind w:left="223" w:leftChars="106" w:firstLine="415" w:firstLineChars="173"/>
        <w:rPr>
          <w:sz w:val="24"/>
          <w:highlight w:val="none"/>
        </w:rPr>
      </w:pPr>
      <w:r>
        <w:rPr>
          <w:sz w:val="24"/>
          <w:highlight w:val="none"/>
        </w:rPr>
        <w:t>我方在充分研究</w:t>
      </w:r>
      <w:r>
        <w:rPr>
          <w:rFonts w:hint="eastAsia"/>
          <w:sz w:val="24"/>
          <w:highlight w:val="none"/>
          <w:u w:val="single"/>
          <w:lang w:eastAsia="zh-CN"/>
        </w:rPr>
        <w:t>河南省生态环境厅职工食堂承包服务项目</w:t>
      </w:r>
      <w:r>
        <w:rPr>
          <w:sz w:val="24"/>
          <w:highlight w:val="none"/>
        </w:rPr>
        <w:t>磋商文件的全部内容，</w:t>
      </w:r>
      <w:r>
        <w:rPr>
          <w:rFonts w:hint="eastAsia"/>
          <w:sz w:val="24"/>
          <w:highlight w:val="none"/>
        </w:rPr>
        <w:t>愿按照招标文件中规定的条款和要求，提供完成招标文件规定的全部工作，</w:t>
      </w:r>
      <w:r>
        <w:rPr>
          <w:sz w:val="24"/>
          <w:highlight w:val="none"/>
        </w:rPr>
        <w:t>磋商总价（首次）</w:t>
      </w:r>
      <w:r>
        <w:rPr>
          <w:rFonts w:hint="eastAsia"/>
          <w:sz w:val="24"/>
          <w:highlight w:val="none"/>
        </w:rPr>
        <w:t xml:space="preserve">为（大写）人民币（RMB￥：元），服务期限为 </w:t>
      </w:r>
      <w:r>
        <w:rPr>
          <w:sz w:val="24"/>
          <w:highlight w:val="none"/>
        </w:rPr>
        <w:t xml:space="preserve">。 </w:t>
      </w:r>
    </w:p>
    <w:p w14:paraId="0613A9BE">
      <w:pPr>
        <w:pStyle w:val="45"/>
        <w:numPr>
          <w:ilvl w:val="1"/>
          <w:numId w:val="24"/>
        </w:numPr>
        <w:spacing w:line="360" w:lineRule="auto"/>
        <w:ind w:left="223" w:leftChars="106" w:firstLine="415" w:firstLineChars="173"/>
        <w:rPr>
          <w:sz w:val="24"/>
          <w:highlight w:val="none"/>
        </w:rPr>
      </w:pPr>
      <w:r>
        <w:rPr>
          <w:sz w:val="24"/>
          <w:highlight w:val="none"/>
        </w:rPr>
        <w:t>我方承诺在磋商有效期内（90</w:t>
      </w:r>
      <w:r>
        <w:rPr>
          <w:spacing w:val="-15"/>
          <w:sz w:val="24"/>
          <w:highlight w:val="none"/>
        </w:rPr>
        <w:t xml:space="preserve"> 日历天</w:t>
      </w:r>
      <w:r>
        <w:rPr>
          <w:sz w:val="24"/>
          <w:highlight w:val="none"/>
        </w:rPr>
        <w:t>）</w:t>
      </w:r>
      <w:r>
        <w:rPr>
          <w:spacing w:val="-2"/>
          <w:sz w:val="24"/>
          <w:highlight w:val="none"/>
        </w:rPr>
        <w:t xml:space="preserve">内不修改、撤销响应文件。 </w:t>
      </w:r>
    </w:p>
    <w:p w14:paraId="1867948F">
      <w:pPr>
        <w:pStyle w:val="45"/>
        <w:numPr>
          <w:ilvl w:val="1"/>
          <w:numId w:val="24"/>
        </w:numPr>
        <w:spacing w:line="360" w:lineRule="auto"/>
        <w:ind w:left="223" w:leftChars="106" w:firstLine="415" w:firstLineChars="173"/>
        <w:rPr>
          <w:sz w:val="24"/>
          <w:highlight w:val="none"/>
        </w:rPr>
      </w:pPr>
      <w:r>
        <w:rPr>
          <w:sz w:val="24"/>
          <w:highlight w:val="none"/>
        </w:rPr>
        <w:t xml:space="preserve">随同本磋商函提交磋商承诺函一份。 </w:t>
      </w:r>
    </w:p>
    <w:p w14:paraId="36AC5C3E">
      <w:pPr>
        <w:pStyle w:val="45"/>
        <w:numPr>
          <w:ilvl w:val="1"/>
          <w:numId w:val="24"/>
        </w:numPr>
        <w:spacing w:line="360" w:lineRule="auto"/>
        <w:ind w:left="223" w:leftChars="106" w:firstLine="415" w:firstLineChars="173"/>
        <w:rPr>
          <w:sz w:val="24"/>
          <w:highlight w:val="none"/>
        </w:rPr>
      </w:pPr>
      <w:r>
        <w:rPr>
          <w:sz w:val="24"/>
          <w:highlight w:val="none"/>
        </w:rPr>
        <w:t xml:space="preserve">如我方中标： </w:t>
      </w:r>
    </w:p>
    <w:p w14:paraId="4FD7F854">
      <w:pPr>
        <w:pStyle w:val="45"/>
        <w:numPr>
          <w:ilvl w:val="1"/>
          <w:numId w:val="0"/>
        </w:numPr>
        <w:spacing w:line="360" w:lineRule="auto"/>
        <w:ind w:left="1067" w:hanging="243"/>
        <w:jc w:val="left"/>
        <w:rPr>
          <w:sz w:val="24"/>
          <w:highlight w:val="none"/>
        </w:rPr>
      </w:pP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1</w:t>
      </w: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w:t>
      </w:r>
      <w:r>
        <w:rPr>
          <w:sz w:val="24"/>
          <w:highlight w:val="none"/>
        </w:rPr>
        <w:t xml:space="preserve">我方承诺在收到成交通知书后，在成交通知书规定的期限内与你方签订合同。 </w:t>
      </w:r>
    </w:p>
    <w:p w14:paraId="26C3E69C">
      <w:pPr>
        <w:pStyle w:val="45"/>
        <w:numPr>
          <w:ilvl w:val="1"/>
          <w:numId w:val="0"/>
        </w:numPr>
        <w:spacing w:line="360" w:lineRule="auto"/>
        <w:ind w:left="223" w:leftChars="106" w:firstLine="584" w:firstLineChars="273"/>
        <w:jc w:val="left"/>
        <w:rPr>
          <w:sz w:val="24"/>
          <w:highlight w:val="none"/>
        </w:rPr>
      </w:pP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2</w:t>
      </w: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w:t>
      </w:r>
      <w:r>
        <w:rPr>
          <w:sz w:val="24"/>
          <w:highlight w:val="none"/>
        </w:rPr>
        <w:t xml:space="preserve">随同本磋商函递交的磋商函附录属于合同文件的组成部分。 </w:t>
      </w:r>
    </w:p>
    <w:p w14:paraId="1A4299B9">
      <w:pPr>
        <w:pStyle w:val="45"/>
        <w:numPr>
          <w:ilvl w:val="1"/>
          <w:numId w:val="0"/>
        </w:numPr>
        <w:spacing w:line="360" w:lineRule="auto"/>
        <w:ind w:left="223" w:leftChars="106" w:firstLine="584" w:firstLineChars="273"/>
        <w:jc w:val="left"/>
        <w:rPr>
          <w:sz w:val="24"/>
          <w:highlight w:val="none"/>
        </w:rPr>
      </w:pP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3</w:t>
      </w: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w:t>
      </w:r>
      <w:r>
        <w:rPr>
          <w:sz w:val="24"/>
          <w:highlight w:val="none"/>
        </w:rPr>
        <w:t xml:space="preserve">我方承诺按照磋商文件规定向你方递交履约担保。 </w:t>
      </w:r>
    </w:p>
    <w:p w14:paraId="7C861D1B">
      <w:pPr>
        <w:pStyle w:val="45"/>
        <w:numPr>
          <w:ilvl w:val="1"/>
          <w:numId w:val="0"/>
        </w:numPr>
        <w:spacing w:line="360" w:lineRule="auto"/>
        <w:ind w:left="223" w:leftChars="106" w:firstLine="584" w:firstLineChars="273"/>
        <w:jc w:val="left"/>
        <w:rPr>
          <w:sz w:val="24"/>
          <w:highlight w:val="none"/>
        </w:rPr>
      </w:pP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4</w:t>
      </w:r>
      <w:r>
        <w:rPr>
          <w:rFonts w:hint="eastAsia" w:ascii="宋体" w:hAnsi="宋体" w:cs="宋体"/>
          <w:spacing w:val="-3"/>
          <w:sz w:val="22"/>
          <w:szCs w:val="22"/>
          <w:highlight w:val="none"/>
          <w:lang w:val="zh-CN" w:bidi="zh-CN"/>
        </w:rPr>
        <w:t>）</w:t>
      </w:r>
      <w:r>
        <w:rPr>
          <w:rFonts w:ascii="宋体" w:hAnsi="宋体" w:cs="宋体"/>
          <w:spacing w:val="-3"/>
          <w:sz w:val="22"/>
          <w:szCs w:val="22"/>
          <w:highlight w:val="none"/>
          <w:lang w:val="zh-CN" w:bidi="zh-CN"/>
        </w:rPr>
        <w:t>.</w:t>
      </w:r>
      <w:r>
        <w:rPr>
          <w:sz w:val="24"/>
          <w:highlight w:val="none"/>
        </w:rPr>
        <w:t>我方承诺响应第</w:t>
      </w:r>
      <w:r>
        <w:rPr>
          <w:rFonts w:hint="eastAsia"/>
          <w:sz w:val="24"/>
          <w:highlight w:val="none"/>
        </w:rPr>
        <w:t>六</w:t>
      </w:r>
      <w:r>
        <w:rPr>
          <w:sz w:val="24"/>
          <w:highlight w:val="none"/>
        </w:rPr>
        <w:t xml:space="preserve">章“合同条款及格式”规定的权利义务并在合同约定的期限内完成并移交全部合同内容。 </w:t>
      </w:r>
    </w:p>
    <w:p w14:paraId="7DA1979D">
      <w:pPr>
        <w:pStyle w:val="45"/>
        <w:numPr>
          <w:ilvl w:val="1"/>
          <w:numId w:val="24"/>
        </w:numPr>
        <w:spacing w:line="360" w:lineRule="auto"/>
        <w:ind w:left="223" w:leftChars="106" w:firstLine="415" w:firstLineChars="173"/>
        <w:rPr>
          <w:sz w:val="24"/>
          <w:highlight w:val="none"/>
        </w:rPr>
      </w:pPr>
      <w:r>
        <w:rPr>
          <w:sz w:val="24"/>
          <w:highlight w:val="none"/>
        </w:rPr>
        <w:t>我方承诺响应第</w:t>
      </w:r>
      <w:r>
        <w:rPr>
          <w:rFonts w:hint="eastAsia"/>
          <w:sz w:val="24"/>
          <w:highlight w:val="none"/>
        </w:rPr>
        <w:t>三</w:t>
      </w:r>
      <w:r>
        <w:rPr>
          <w:sz w:val="24"/>
          <w:highlight w:val="none"/>
        </w:rPr>
        <w:t xml:space="preserve">章“采购需求”相关规定。 </w:t>
      </w:r>
    </w:p>
    <w:p w14:paraId="007ECB51">
      <w:pPr>
        <w:pStyle w:val="45"/>
        <w:numPr>
          <w:ilvl w:val="1"/>
          <w:numId w:val="24"/>
        </w:numPr>
        <w:spacing w:line="360" w:lineRule="auto"/>
        <w:ind w:left="223" w:leftChars="106" w:firstLine="415" w:firstLineChars="173"/>
        <w:rPr>
          <w:sz w:val="24"/>
          <w:highlight w:val="none"/>
        </w:rPr>
      </w:pPr>
      <w:r>
        <w:rPr>
          <w:sz w:val="24"/>
          <w:highlight w:val="none"/>
        </w:rPr>
        <w:t xml:space="preserve">我方在此声明，所递交的响应文件及有关资料内容完整、真实和准确。 </w:t>
      </w:r>
    </w:p>
    <w:p w14:paraId="71227A64">
      <w:pPr>
        <w:pStyle w:val="45"/>
        <w:numPr>
          <w:ilvl w:val="1"/>
          <w:numId w:val="24"/>
        </w:numPr>
        <w:spacing w:line="360" w:lineRule="auto"/>
        <w:ind w:left="223" w:leftChars="106" w:firstLine="415" w:firstLineChars="173"/>
        <w:rPr>
          <w:sz w:val="24"/>
          <w:highlight w:val="none"/>
        </w:rPr>
      </w:pPr>
      <w:r>
        <w:rPr>
          <w:sz w:val="24"/>
          <w:highlight w:val="none"/>
        </w:rPr>
        <w:t xml:space="preserve">（其他补充说明）。 </w:t>
      </w:r>
    </w:p>
    <w:p w14:paraId="50D77796">
      <w:pPr>
        <w:pStyle w:val="10"/>
        <w:spacing w:before="158"/>
        <w:ind w:left="223" w:leftChars="106" w:firstLine="363" w:firstLineChars="173"/>
        <w:rPr>
          <w:highlight w:val="none"/>
        </w:rPr>
      </w:pPr>
    </w:p>
    <w:p w14:paraId="0EFD42D2">
      <w:pPr>
        <w:pStyle w:val="10"/>
        <w:spacing w:before="161"/>
        <w:ind w:left="223" w:leftChars="106" w:firstLine="363" w:firstLineChars="173"/>
        <w:rPr>
          <w:highlight w:val="none"/>
        </w:rPr>
      </w:pPr>
      <w:r>
        <w:rPr>
          <w:highlight w:val="none"/>
        </w:rPr>
        <w:t xml:space="preserve">供应商：（盖单位章） </w:t>
      </w:r>
    </w:p>
    <w:p w14:paraId="6E5AD130">
      <w:pPr>
        <w:pStyle w:val="10"/>
        <w:spacing w:before="158" w:line="364" w:lineRule="auto"/>
        <w:ind w:left="223" w:leftChars="106" w:right="1145" w:firstLine="363" w:firstLineChars="173"/>
        <w:rPr>
          <w:spacing w:val="-17"/>
          <w:highlight w:val="none"/>
        </w:rPr>
      </w:pPr>
      <w:r>
        <w:rPr>
          <w:highlight w:val="none"/>
        </w:rPr>
        <w:t>法定代表人或其委托代理人：（签字或盖章</w:t>
      </w:r>
      <w:r>
        <w:rPr>
          <w:spacing w:val="-17"/>
          <w:highlight w:val="none"/>
        </w:rPr>
        <w:t>）</w:t>
      </w:r>
    </w:p>
    <w:p w14:paraId="6252D16F">
      <w:pPr>
        <w:pStyle w:val="10"/>
        <w:spacing w:before="158" w:line="364" w:lineRule="auto"/>
        <w:ind w:left="223" w:leftChars="106" w:right="1145" w:firstLine="363" w:firstLineChars="173"/>
        <w:rPr>
          <w:highlight w:val="none"/>
        </w:rPr>
      </w:pPr>
      <w:r>
        <w:rPr>
          <w:highlight w:val="none"/>
        </w:rPr>
        <w:t>地址：</w:t>
      </w:r>
    </w:p>
    <w:p w14:paraId="6583162D">
      <w:pPr>
        <w:pStyle w:val="10"/>
        <w:spacing w:line="306" w:lineRule="exact"/>
        <w:ind w:left="223" w:leftChars="106" w:firstLine="363" w:firstLineChars="173"/>
        <w:rPr>
          <w:highlight w:val="none"/>
        </w:rPr>
      </w:pPr>
      <w:r>
        <w:rPr>
          <w:highlight w:val="none"/>
        </w:rPr>
        <w:t>电话：</w:t>
      </w:r>
    </w:p>
    <w:p w14:paraId="6E3B3360">
      <w:pPr>
        <w:pStyle w:val="10"/>
        <w:spacing w:before="160"/>
        <w:ind w:right="1121" w:firstLine="363"/>
        <w:jc w:val="right"/>
        <w:rPr>
          <w:highlight w:val="none"/>
        </w:rPr>
      </w:pPr>
      <w:r>
        <w:rPr>
          <w:highlight w:val="none"/>
        </w:rPr>
        <w:t xml:space="preserve">年 月 日 </w:t>
      </w:r>
    </w:p>
    <w:p w14:paraId="6E56E7A4">
      <w:pPr>
        <w:jc w:val="right"/>
        <w:rPr>
          <w:highlight w:val="none"/>
        </w:rPr>
        <w:sectPr>
          <w:footerReference r:id="rId5" w:type="default"/>
          <w:pgSz w:w="11920" w:h="16850"/>
          <w:pgMar w:top="1540" w:right="1220" w:bottom="1240" w:left="1260" w:header="0" w:footer="1043" w:gutter="0"/>
          <w:cols w:space="720" w:num="1"/>
        </w:sectPr>
      </w:pPr>
    </w:p>
    <w:p w14:paraId="0E43E0CB">
      <w:pPr>
        <w:pStyle w:val="6"/>
        <w:rPr>
          <w:color w:val="auto"/>
          <w:highlight w:val="none"/>
        </w:rPr>
      </w:pPr>
      <w:r>
        <w:rPr>
          <w:color w:val="auto"/>
          <w:highlight w:val="none"/>
        </w:rPr>
        <w:t>（二）磋商函附录</w:t>
      </w:r>
    </w:p>
    <w:p w14:paraId="302E00A0">
      <w:pPr>
        <w:pStyle w:val="10"/>
        <w:ind w:firstLine="347"/>
        <w:rPr>
          <w:b/>
          <w:sz w:val="20"/>
          <w:highlight w:val="none"/>
        </w:rPr>
      </w:pPr>
    </w:p>
    <w:p w14:paraId="0DC66249">
      <w:pPr>
        <w:pStyle w:val="10"/>
        <w:ind w:firstLine="347"/>
        <w:rPr>
          <w:b/>
          <w:sz w:val="20"/>
          <w:highlight w:val="none"/>
        </w:rPr>
      </w:pPr>
    </w:p>
    <w:p w14:paraId="0F14643C">
      <w:pPr>
        <w:pStyle w:val="10"/>
        <w:ind w:firstLine="347"/>
        <w:rPr>
          <w:b/>
          <w:sz w:val="20"/>
          <w:highlight w:val="none"/>
        </w:rPr>
      </w:pPr>
    </w:p>
    <w:p w14:paraId="11E8D18E">
      <w:pPr>
        <w:pStyle w:val="10"/>
        <w:spacing w:before="5" w:after="1"/>
        <w:ind w:firstLine="434"/>
        <w:rPr>
          <w:b/>
          <w:sz w:val="25"/>
          <w:highlight w:val="none"/>
        </w:rPr>
      </w:pPr>
    </w:p>
    <w:tbl>
      <w:tblPr>
        <w:tblStyle w:val="27"/>
        <w:tblW w:w="0" w:type="auto"/>
        <w:tblInd w:w="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9"/>
        <w:gridCol w:w="5778"/>
      </w:tblGrid>
      <w:tr w14:paraId="1B274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3B6FA016">
            <w:pPr>
              <w:pStyle w:val="46"/>
              <w:spacing w:before="117"/>
              <w:ind w:left="390" w:right="259"/>
              <w:jc w:val="center"/>
              <w:rPr>
                <w:sz w:val="24"/>
                <w:highlight w:val="none"/>
              </w:rPr>
            </w:pPr>
            <w:r>
              <w:rPr>
                <w:sz w:val="24"/>
                <w:highlight w:val="none"/>
              </w:rPr>
              <w:t>项目名称</w:t>
            </w:r>
          </w:p>
        </w:tc>
        <w:tc>
          <w:tcPr>
            <w:tcW w:w="5778" w:type="dxa"/>
            <w:vAlign w:val="center"/>
          </w:tcPr>
          <w:p w14:paraId="566111D9">
            <w:pPr>
              <w:pStyle w:val="46"/>
              <w:spacing w:before="117"/>
              <w:ind w:left="126"/>
              <w:jc w:val="center"/>
              <w:rPr>
                <w:sz w:val="24"/>
                <w:highlight w:val="none"/>
              </w:rPr>
            </w:pPr>
          </w:p>
        </w:tc>
      </w:tr>
      <w:tr w14:paraId="6182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7BF43312">
            <w:pPr>
              <w:pStyle w:val="46"/>
              <w:spacing w:before="117"/>
              <w:ind w:left="390" w:right="259"/>
              <w:jc w:val="center"/>
              <w:rPr>
                <w:sz w:val="24"/>
                <w:highlight w:val="none"/>
              </w:rPr>
            </w:pPr>
            <w:r>
              <w:rPr>
                <w:sz w:val="24"/>
                <w:highlight w:val="none"/>
              </w:rPr>
              <w:t>供应商</w:t>
            </w:r>
          </w:p>
        </w:tc>
        <w:tc>
          <w:tcPr>
            <w:tcW w:w="5778" w:type="dxa"/>
            <w:vAlign w:val="center"/>
          </w:tcPr>
          <w:p w14:paraId="19F931D1">
            <w:pPr>
              <w:pStyle w:val="46"/>
              <w:spacing w:before="117"/>
              <w:ind w:left="126"/>
              <w:jc w:val="center"/>
              <w:rPr>
                <w:sz w:val="24"/>
                <w:highlight w:val="none"/>
              </w:rPr>
            </w:pPr>
          </w:p>
        </w:tc>
      </w:tr>
      <w:tr w14:paraId="4A26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03412E6D">
            <w:pPr>
              <w:pStyle w:val="46"/>
              <w:spacing w:before="117"/>
              <w:ind w:left="390" w:right="259"/>
              <w:jc w:val="center"/>
              <w:rPr>
                <w:sz w:val="24"/>
                <w:highlight w:val="none"/>
              </w:rPr>
            </w:pPr>
            <w:r>
              <w:rPr>
                <w:rFonts w:hint="eastAsia"/>
                <w:sz w:val="24"/>
                <w:highlight w:val="none"/>
                <w:lang w:eastAsia="zh-CN"/>
              </w:rPr>
              <w:t>采购</w:t>
            </w:r>
            <w:r>
              <w:rPr>
                <w:sz w:val="24"/>
                <w:highlight w:val="none"/>
              </w:rPr>
              <w:t>内容</w:t>
            </w:r>
          </w:p>
        </w:tc>
        <w:tc>
          <w:tcPr>
            <w:tcW w:w="5778" w:type="dxa"/>
            <w:vAlign w:val="center"/>
          </w:tcPr>
          <w:p w14:paraId="5EEAB673">
            <w:pPr>
              <w:pStyle w:val="46"/>
              <w:spacing w:before="117"/>
              <w:ind w:left="126"/>
              <w:jc w:val="center"/>
              <w:rPr>
                <w:sz w:val="24"/>
                <w:highlight w:val="none"/>
              </w:rPr>
            </w:pPr>
          </w:p>
        </w:tc>
      </w:tr>
      <w:tr w14:paraId="30A2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07AD0C6B">
            <w:pPr>
              <w:pStyle w:val="46"/>
              <w:spacing w:before="118"/>
              <w:ind w:left="390" w:right="259"/>
              <w:jc w:val="center"/>
              <w:rPr>
                <w:sz w:val="24"/>
                <w:highlight w:val="none"/>
              </w:rPr>
            </w:pPr>
            <w:r>
              <w:rPr>
                <w:sz w:val="24"/>
                <w:highlight w:val="none"/>
              </w:rPr>
              <w:t>磋商总价（首次）</w:t>
            </w:r>
          </w:p>
        </w:tc>
        <w:tc>
          <w:tcPr>
            <w:tcW w:w="5778" w:type="dxa"/>
            <w:vAlign w:val="center"/>
          </w:tcPr>
          <w:p w14:paraId="4096BC49">
            <w:pPr>
              <w:pStyle w:val="46"/>
              <w:tabs>
                <w:tab w:val="left" w:pos="2757"/>
              </w:tabs>
              <w:spacing w:before="118"/>
              <w:ind w:left="237"/>
              <w:jc w:val="center"/>
              <w:rPr>
                <w:sz w:val="24"/>
                <w:highlight w:val="none"/>
              </w:rPr>
            </w:pPr>
            <w:r>
              <w:rPr>
                <w:sz w:val="24"/>
                <w:highlight w:val="none"/>
              </w:rPr>
              <w:t>大写：</w:t>
            </w:r>
            <w:r>
              <w:rPr>
                <w:sz w:val="24"/>
                <w:highlight w:val="none"/>
              </w:rPr>
              <w:tab/>
            </w:r>
            <w:r>
              <w:rPr>
                <w:sz w:val="24"/>
                <w:highlight w:val="none"/>
              </w:rPr>
              <w:t>小写：</w:t>
            </w:r>
          </w:p>
        </w:tc>
      </w:tr>
      <w:tr w14:paraId="0631D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446B594D">
            <w:pPr>
              <w:pStyle w:val="46"/>
              <w:spacing w:before="118"/>
              <w:ind w:left="390" w:right="259"/>
              <w:jc w:val="center"/>
              <w:rPr>
                <w:rFonts w:hint="eastAsia" w:eastAsia="宋体"/>
                <w:sz w:val="24"/>
                <w:highlight w:val="none"/>
                <w:lang w:val="en-US" w:eastAsia="zh-CN"/>
              </w:rPr>
            </w:pPr>
            <w:r>
              <w:rPr>
                <w:rFonts w:hint="eastAsia"/>
                <w:sz w:val="24"/>
                <w:highlight w:val="none"/>
                <w:lang w:val="en-US" w:eastAsia="zh-CN"/>
              </w:rPr>
              <w:t>报价（元/ 年）</w:t>
            </w:r>
          </w:p>
        </w:tc>
        <w:tc>
          <w:tcPr>
            <w:tcW w:w="5778" w:type="dxa"/>
            <w:vAlign w:val="center"/>
          </w:tcPr>
          <w:p w14:paraId="573CB0C8">
            <w:pPr>
              <w:pStyle w:val="46"/>
              <w:tabs>
                <w:tab w:val="left" w:pos="2757"/>
              </w:tabs>
              <w:spacing w:before="118"/>
              <w:ind w:left="237"/>
              <w:jc w:val="center"/>
              <w:rPr>
                <w:rFonts w:hint="default" w:eastAsia="宋体"/>
                <w:sz w:val="24"/>
                <w:highlight w:val="none"/>
                <w:lang w:val="en-US" w:eastAsia="zh-CN"/>
              </w:rPr>
            </w:pPr>
            <w:r>
              <w:rPr>
                <w:sz w:val="24"/>
                <w:highlight w:val="none"/>
              </w:rPr>
              <w:t>大写：</w:t>
            </w:r>
            <w:r>
              <w:rPr>
                <w:rFonts w:hint="eastAsia"/>
                <w:sz w:val="24"/>
                <w:highlight w:val="none"/>
                <w:lang w:val="en-US" w:eastAsia="zh-CN"/>
              </w:rPr>
              <w:t xml:space="preserve">   元/年</w:t>
            </w:r>
            <w:r>
              <w:rPr>
                <w:sz w:val="24"/>
                <w:highlight w:val="none"/>
              </w:rPr>
              <w:tab/>
            </w:r>
            <w:r>
              <w:rPr>
                <w:sz w:val="24"/>
                <w:highlight w:val="none"/>
              </w:rPr>
              <w:t>小写：</w:t>
            </w:r>
            <w:r>
              <w:rPr>
                <w:rFonts w:hint="eastAsia"/>
                <w:sz w:val="24"/>
                <w:highlight w:val="none"/>
                <w:lang w:eastAsia="zh-CN"/>
              </w:rPr>
              <w:t>元</w:t>
            </w:r>
            <w:r>
              <w:rPr>
                <w:rFonts w:hint="eastAsia"/>
                <w:sz w:val="24"/>
                <w:highlight w:val="none"/>
                <w:lang w:val="en-US" w:eastAsia="zh-CN"/>
              </w:rPr>
              <w:t>/年</w:t>
            </w:r>
          </w:p>
        </w:tc>
      </w:tr>
      <w:tr w14:paraId="7D166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5203F171">
            <w:pPr>
              <w:pStyle w:val="46"/>
              <w:spacing w:before="117"/>
              <w:ind w:left="390" w:right="259"/>
              <w:jc w:val="center"/>
              <w:rPr>
                <w:sz w:val="24"/>
                <w:highlight w:val="none"/>
              </w:rPr>
            </w:pPr>
            <w:r>
              <w:rPr>
                <w:sz w:val="24"/>
                <w:highlight w:val="none"/>
              </w:rPr>
              <w:t>服务质量</w:t>
            </w:r>
          </w:p>
        </w:tc>
        <w:tc>
          <w:tcPr>
            <w:tcW w:w="5778" w:type="dxa"/>
            <w:vAlign w:val="center"/>
          </w:tcPr>
          <w:p w14:paraId="1C4D9A92">
            <w:pPr>
              <w:pStyle w:val="46"/>
              <w:spacing w:before="117"/>
              <w:ind w:left="126"/>
              <w:jc w:val="center"/>
              <w:rPr>
                <w:sz w:val="24"/>
                <w:highlight w:val="none"/>
              </w:rPr>
            </w:pPr>
          </w:p>
        </w:tc>
      </w:tr>
      <w:tr w14:paraId="1A51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58C7C515">
            <w:pPr>
              <w:pStyle w:val="46"/>
              <w:spacing w:before="117"/>
              <w:ind w:left="390" w:right="259"/>
              <w:jc w:val="center"/>
              <w:rPr>
                <w:sz w:val="24"/>
                <w:highlight w:val="none"/>
              </w:rPr>
            </w:pPr>
            <w:r>
              <w:rPr>
                <w:sz w:val="24"/>
                <w:highlight w:val="none"/>
              </w:rPr>
              <w:t>服务期限</w:t>
            </w:r>
          </w:p>
        </w:tc>
        <w:tc>
          <w:tcPr>
            <w:tcW w:w="5778" w:type="dxa"/>
            <w:vAlign w:val="center"/>
          </w:tcPr>
          <w:p w14:paraId="0C235EE4">
            <w:pPr>
              <w:pStyle w:val="46"/>
              <w:spacing w:before="117"/>
              <w:ind w:left="126"/>
              <w:jc w:val="center"/>
              <w:rPr>
                <w:sz w:val="24"/>
                <w:highlight w:val="none"/>
              </w:rPr>
            </w:pPr>
          </w:p>
        </w:tc>
      </w:tr>
      <w:tr w14:paraId="30E0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02739721">
            <w:pPr>
              <w:pStyle w:val="46"/>
              <w:spacing w:before="117"/>
              <w:ind w:left="390" w:right="259"/>
              <w:jc w:val="center"/>
              <w:rPr>
                <w:sz w:val="24"/>
                <w:highlight w:val="none"/>
              </w:rPr>
            </w:pPr>
            <w:r>
              <w:rPr>
                <w:rFonts w:hint="eastAsia"/>
                <w:sz w:val="24"/>
                <w:highlight w:val="none"/>
              </w:rPr>
              <w:t>服务地点</w:t>
            </w:r>
          </w:p>
        </w:tc>
        <w:tc>
          <w:tcPr>
            <w:tcW w:w="5778" w:type="dxa"/>
            <w:vAlign w:val="center"/>
          </w:tcPr>
          <w:p w14:paraId="1579D9E3">
            <w:pPr>
              <w:pStyle w:val="46"/>
              <w:spacing w:before="117"/>
              <w:ind w:left="126"/>
              <w:jc w:val="center"/>
              <w:rPr>
                <w:sz w:val="24"/>
                <w:highlight w:val="none"/>
              </w:rPr>
            </w:pPr>
          </w:p>
        </w:tc>
      </w:tr>
      <w:tr w14:paraId="4DFB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19" w:type="dxa"/>
            <w:vAlign w:val="center"/>
          </w:tcPr>
          <w:p w14:paraId="1ECADDA5">
            <w:pPr>
              <w:pStyle w:val="46"/>
              <w:spacing w:before="117"/>
              <w:ind w:left="390" w:right="259"/>
              <w:jc w:val="center"/>
              <w:rPr>
                <w:sz w:val="24"/>
                <w:highlight w:val="none"/>
              </w:rPr>
            </w:pPr>
            <w:r>
              <w:rPr>
                <w:rFonts w:hint="eastAsia"/>
                <w:sz w:val="24"/>
                <w:highlight w:val="none"/>
              </w:rPr>
              <w:t>磋商有效期</w:t>
            </w:r>
          </w:p>
        </w:tc>
        <w:tc>
          <w:tcPr>
            <w:tcW w:w="5778" w:type="dxa"/>
            <w:vAlign w:val="center"/>
          </w:tcPr>
          <w:p w14:paraId="7133CB34">
            <w:pPr>
              <w:pStyle w:val="46"/>
              <w:spacing w:before="117"/>
              <w:ind w:left="126"/>
              <w:jc w:val="center"/>
              <w:rPr>
                <w:sz w:val="24"/>
                <w:highlight w:val="none"/>
              </w:rPr>
            </w:pPr>
            <w:r>
              <w:rPr>
                <w:rFonts w:hint="eastAsia"/>
                <w:sz w:val="24"/>
                <w:highlight w:val="none"/>
              </w:rPr>
              <w:t>90日历天</w:t>
            </w:r>
          </w:p>
        </w:tc>
      </w:tr>
      <w:tr w14:paraId="1B61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619" w:type="dxa"/>
            <w:tcBorders>
              <w:bottom w:val="single" w:color="auto" w:sz="4" w:space="0"/>
            </w:tcBorders>
            <w:vAlign w:val="center"/>
          </w:tcPr>
          <w:p w14:paraId="34C66E87">
            <w:pPr>
              <w:pStyle w:val="46"/>
              <w:spacing w:before="117" w:line="240" w:lineRule="auto"/>
              <w:ind w:left="390" w:right="259" w:firstLine="0"/>
              <w:jc w:val="center"/>
              <w:rPr>
                <w:rFonts w:hint="eastAsia" w:ascii="宋体" w:hAnsi="宋体" w:eastAsia="宋体" w:cs="宋体"/>
                <w:sz w:val="24"/>
                <w:highlight w:val="none"/>
              </w:rPr>
            </w:pPr>
            <w:r>
              <w:rPr>
                <w:rFonts w:hint="eastAsia" w:ascii="宋体" w:hAnsi="宋体" w:eastAsia="宋体" w:cs="宋体"/>
                <w:sz w:val="24"/>
                <w:highlight w:val="none"/>
                <w:lang w:eastAsia="zh-CN"/>
              </w:rPr>
              <w:t>付款方式</w:t>
            </w:r>
          </w:p>
        </w:tc>
        <w:tc>
          <w:tcPr>
            <w:tcW w:w="5778" w:type="dxa"/>
            <w:tcBorders>
              <w:bottom w:val="single" w:color="auto" w:sz="4" w:space="0"/>
            </w:tcBorders>
            <w:vAlign w:val="center"/>
          </w:tcPr>
          <w:p w14:paraId="46BFE01A">
            <w:pPr>
              <w:pStyle w:val="46"/>
              <w:jc w:val="center"/>
              <w:rPr>
                <w:b/>
                <w:sz w:val="24"/>
                <w:highlight w:val="none"/>
              </w:rPr>
            </w:pPr>
          </w:p>
          <w:p w14:paraId="3785AA3A">
            <w:pPr>
              <w:pStyle w:val="46"/>
              <w:jc w:val="center"/>
              <w:rPr>
                <w:b/>
                <w:sz w:val="24"/>
                <w:highlight w:val="none"/>
              </w:rPr>
            </w:pPr>
          </w:p>
          <w:p w14:paraId="1B5DA34C">
            <w:pPr>
              <w:pStyle w:val="46"/>
              <w:jc w:val="center"/>
              <w:rPr>
                <w:b/>
                <w:sz w:val="24"/>
                <w:highlight w:val="none"/>
              </w:rPr>
            </w:pPr>
          </w:p>
          <w:p w14:paraId="4F2E4220">
            <w:pPr>
              <w:pStyle w:val="46"/>
              <w:spacing w:before="9"/>
              <w:jc w:val="center"/>
              <w:rPr>
                <w:b/>
                <w:sz w:val="20"/>
                <w:highlight w:val="none"/>
              </w:rPr>
            </w:pPr>
          </w:p>
          <w:p w14:paraId="02BF805F">
            <w:pPr>
              <w:pStyle w:val="46"/>
              <w:ind w:left="126"/>
              <w:jc w:val="center"/>
              <w:rPr>
                <w:sz w:val="24"/>
                <w:highlight w:val="none"/>
              </w:rPr>
            </w:pPr>
          </w:p>
        </w:tc>
      </w:tr>
      <w:tr w14:paraId="0D03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2619" w:type="dxa"/>
            <w:tcBorders>
              <w:top w:val="single" w:color="auto" w:sz="4" w:space="0"/>
              <w:bottom w:val="single" w:color="auto" w:sz="4" w:space="0"/>
            </w:tcBorders>
            <w:vAlign w:val="center"/>
          </w:tcPr>
          <w:p w14:paraId="0B46D380">
            <w:pPr>
              <w:pStyle w:val="46"/>
              <w:spacing w:before="117" w:line="240" w:lineRule="auto"/>
              <w:ind w:left="390" w:right="259"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履约保证金</w:t>
            </w:r>
          </w:p>
        </w:tc>
        <w:tc>
          <w:tcPr>
            <w:tcW w:w="5778" w:type="dxa"/>
            <w:tcBorders>
              <w:top w:val="single" w:color="auto" w:sz="4" w:space="0"/>
              <w:bottom w:val="single" w:color="auto" w:sz="4" w:space="0"/>
            </w:tcBorders>
            <w:vAlign w:val="center"/>
          </w:tcPr>
          <w:p w14:paraId="5DF7D67A">
            <w:pPr>
              <w:pStyle w:val="46"/>
              <w:ind w:left="126"/>
              <w:jc w:val="center"/>
              <w:rPr>
                <w:rFonts w:hint="eastAsia" w:eastAsia="宋体"/>
                <w:sz w:val="24"/>
                <w:highlight w:val="none"/>
                <w:lang w:eastAsia="zh-CN"/>
              </w:rPr>
            </w:pPr>
            <w:r>
              <w:rPr>
                <w:rFonts w:hint="eastAsia"/>
                <w:sz w:val="24"/>
                <w:highlight w:val="none"/>
                <w:lang w:eastAsia="zh-CN"/>
              </w:rPr>
              <w:t>无</w:t>
            </w:r>
          </w:p>
        </w:tc>
      </w:tr>
      <w:tr w14:paraId="2DAA8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619" w:type="dxa"/>
            <w:tcBorders>
              <w:top w:val="single" w:color="auto" w:sz="4" w:space="0"/>
            </w:tcBorders>
            <w:vAlign w:val="center"/>
          </w:tcPr>
          <w:p w14:paraId="686B7068">
            <w:pPr>
              <w:pStyle w:val="46"/>
              <w:spacing w:before="117" w:line="240" w:lineRule="auto"/>
              <w:ind w:left="390" w:right="259"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其他声明</w:t>
            </w:r>
          </w:p>
        </w:tc>
        <w:tc>
          <w:tcPr>
            <w:tcW w:w="5778" w:type="dxa"/>
            <w:tcBorders>
              <w:top w:val="single" w:color="auto" w:sz="4" w:space="0"/>
            </w:tcBorders>
            <w:vAlign w:val="center"/>
          </w:tcPr>
          <w:p w14:paraId="159C4F50">
            <w:pPr>
              <w:pStyle w:val="46"/>
              <w:ind w:left="126"/>
              <w:jc w:val="center"/>
              <w:rPr>
                <w:sz w:val="24"/>
                <w:highlight w:val="none"/>
              </w:rPr>
            </w:pPr>
          </w:p>
        </w:tc>
      </w:tr>
    </w:tbl>
    <w:p w14:paraId="372BD2FC">
      <w:pPr>
        <w:pStyle w:val="10"/>
        <w:ind w:firstLine="365"/>
        <w:rPr>
          <w:b/>
          <w:highlight w:val="none"/>
        </w:rPr>
      </w:pPr>
    </w:p>
    <w:p w14:paraId="709366AC">
      <w:pPr>
        <w:pStyle w:val="10"/>
        <w:ind w:firstLine="365"/>
        <w:rPr>
          <w:b/>
          <w:highlight w:val="none"/>
        </w:rPr>
      </w:pPr>
    </w:p>
    <w:p w14:paraId="75AA5580">
      <w:pPr>
        <w:pStyle w:val="10"/>
        <w:spacing w:before="11"/>
        <w:ind w:firstLine="365"/>
        <w:rPr>
          <w:b/>
          <w:highlight w:val="none"/>
        </w:rPr>
      </w:pPr>
    </w:p>
    <w:p w14:paraId="7BBA9DD4">
      <w:pPr>
        <w:pStyle w:val="10"/>
        <w:spacing w:line="364" w:lineRule="auto"/>
        <w:ind w:left="223" w:right="1282" w:firstLine="258" w:firstLineChars="123"/>
        <w:rPr>
          <w:highlight w:val="none"/>
        </w:rPr>
      </w:pPr>
      <w:r>
        <w:rPr>
          <w:highlight w:val="none"/>
        </w:rPr>
        <w:t>供应商：（盖单位章）</w:t>
      </w:r>
    </w:p>
    <w:p w14:paraId="193F7986">
      <w:pPr>
        <w:pStyle w:val="10"/>
        <w:spacing w:line="364" w:lineRule="auto"/>
        <w:ind w:right="1282" w:firstLine="3780" w:firstLineChars="1800"/>
        <w:rPr>
          <w:highlight w:val="none"/>
        </w:rPr>
      </w:pPr>
      <w:r>
        <w:rPr>
          <w:highlight w:val="none"/>
        </w:rPr>
        <w:t xml:space="preserve">法定代表人或其委托代理人：（签字或盖章） </w:t>
      </w:r>
    </w:p>
    <w:p w14:paraId="05167200">
      <w:pPr>
        <w:pStyle w:val="10"/>
        <w:spacing w:line="364" w:lineRule="auto"/>
        <w:ind w:right="1282" w:firstLine="5040" w:firstLineChars="2400"/>
        <w:rPr>
          <w:highlight w:val="none"/>
        </w:rPr>
      </w:pPr>
      <w:r>
        <w:rPr>
          <w:highlight w:val="none"/>
        </w:rPr>
        <w:t>年</w:t>
      </w:r>
      <w:r>
        <w:rPr>
          <w:highlight w:val="none"/>
        </w:rPr>
        <w:tab/>
      </w:r>
      <w:r>
        <w:rPr>
          <w:highlight w:val="none"/>
        </w:rPr>
        <w:t>月</w:t>
      </w:r>
      <w:r>
        <w:rPr>
          <w:highlight w:val="none"/>
        </w:rPr>
        <w:tab/>
      </w:r>
      <w:r>
        <w:rPr>
          <w:highlight w:val="none"/>
        </w:rPr>
        <w:t xml:space="preserve">日 </w:t>
      </w:r>
    </w:p>
    <w:p w14:paraId="618CCC55">
      <w:pPr>
        <w:spacing w:line="306" w:lineRule="exact"/>
        <w:rPr>
          <w:highlight w:val="none"/>
        </w:rPr>
      </w:pPr>
    </w:p>
    <w:p w14:paraId="5410B492">
      <w:pPr>
        <w:spacing w:line="306" w:lineRule="exact"/>
        <w:rPr>
          <w:highlight w:val="none"/>
        </w:rPr>
      </w:pPr>
    </w:p>
    <w:p w14:paraId="1EB7235D">
      <w:pPr>
        <w:spacing w:line="306" w:lineRule="exact"/>
        <w:rPr>
          <w:highlight w:val="none"/>
        </w:rPr>
      </w:pPr>
    </w:p>
    <w:p w14:paraId="4BD4A1F5">
      <w:pPr>
        <w:rPr>
          <w:highlight w:val="none"/>
        </w:rPr>
      </w:pPr>
    </w:p>
    <w:p w14:paraId="650BECF9">
      <w:pPr>
        <w:spacing w:before="40"/>
        <w:ind w:left="709" w:right="884"/>
        <w:jc w:val="center"/>
        <w:rPr>
          <w:b/>
          <w:sz w:val="32"/>
          <w:highlight w:val="none"/>
        </w:rPr>
      </w:pPr>
      <w:bookmarkStart w:id="621" w:name="_bookmark7"/>
      <w:bookmarkEnd w:id="621"/>
      <w:bookmarkStart w:id="622" w:name="二、法定代表身份证明及法定代表人授权书"/>
      <w:bookmarkEnd w:id="622"/>
      <w:r>
        <w:rPr>
          <w:b/>
          <w:sz w:val="32"/>
          <w:highlight w:val="none"/>
        </w:rPr>
        <w:t xml:space="preserve">二、法定代表身份证明及法定代表人授权书 </w:t>
      </w:r>
    </w:p>
    <w:p w14:paraId="0E175EDA">
      <w:pPr>
        <w:pStyle w:val="6"/>
        <w:rPr>
          <w:color w:val="auto"/>
          <w:highlight w:val="none"/>
        </w:rPr>
      </w:pPr>
      <w:r>
        <w:rPr>
          <w:color w:val="auto"/>
          <w:highlight w:val="none"/>
        </w:rPr>
        <w:t>（一）法定代表人身份证明</w:t>
      </w:r>
    </w:p>
    <w:p w14:paraId="0C894197">
      <w:pPr>
        <w:pStyle w:val="10"/>
        <w:ind w:firstLine="365"/>
        <w:rPr>
          <w:b/>
          <w:highlight w:val="none"/>
        </w:rPr>
      </w:pPr>
    </w:p>
    <w:p w14:paraId="09F6721F">
      <w:pPr>
        <w:pStyle w:val="10"/>
        <w:ind w:firstLine="365"/>
        <w:rPr>
          <w:b/>
          <w:highlight w:val="none"/>
        </w:rPr>
      </w:pPr>
    </w:p>
    <w:p w14:paraId="3937C45E">
      <w:pPr>
        <w:pStyle w:val="10"/>
        <w:ind w:firstLine="365"/>
        <w:rPr>
          <w:b/>
          <w:highlight w:val="none"/>
        </w:rPr>
      </w:pPr>
    </w:p>
    <w:p w14:paraId="58B4ACB3">
      <w:pPr>
        <w:pStyle w:val="10"/>
        <w:tabs>
          <w:tab w:val="left" w:pos="9660"/>
        </w:tabs>
        <w:spacing w:before="169" w:line="364" w:lineRule="auto"/>
        <w:ind w:left="223" w:right="3780" w:firstLine="346"/>
        <w:rPr>
          <w:rFonts w:ascii="宋体" w:hAnsi="宋体" w:cs="宋体"/>
          <w:spacing w:val="-5"/>
          <w:highlight w:val="none"/>
          <w:u w:val="single"/>
        </w:rPr>
      </w:pPr>
      <w:r>
        <w:rPr>
          <w:rFonts w:hint="eastAsia" w:ascii="宋体" w:hAnsi="宋体" w:cs="宋体"/>
          <w:spacing w:val="-5"/>
          <w:highlight w:val="none"/>
        </w:rPr>
        <w:t>供应商名称：</w:t>
      </w:r>
    </w:p>
    <w:p w14:paraId="70F38836">
      <w:pPr>
        <w:pStyle w:val="10"/>
        <w:tabs>
          <w:tab w:val="left" w:pos="630"/>
          <w:tab w:val="left" w:pos="9660"/>
        </w:tabs>
        <w:spacing w:before="169" w:line="364" w:lineRule="auto"/>
        <w:ind w:left="223" w:right="5880" w:firstLine="363"/>
        <w:rPr>
          <w:rFonts w:ascii="宋体" w:hAnsi="宋体" w:cs="宋体"/>
          <w:highlight w:val="none"/>
          <w:u w:val="single"/>
        </w:rPr>
      </w:pPr>
      <w:r>
        <w:rPr>
          <w:rFonts w:hint="eastAsia" w:ascii="宋体" w:hAnsi="宋体" w:cs="宋体"/>
          <w:highlight w:val="none"/>
        </w:rPr>
        <w:t>单位性质：</w:t>
      </w:r>
    </w:p>
    <w:p w14:paraId="6B3F6FDE">
      <w:pPr>
        <w:pStyle w:val="10"/>
        <w:tabs>
          <w:tab w:val="left" w:pos="2440"/>
          <w:tab w:val="left" w:pos="9660"/>
        </w:tabs>
        <w:spacing w:line="364" w:lineRule="auto"/>
        <w:ind w:left="223" w:right="4820" w:firstLine="363"/>
        <w:rPr>
          <w:highlight w:val="none"/>
          <w:u w:val="single"/>
        </w:rPr>
      </w:pPr>
      <w:r>
        <w:rPr>
          <w:rFonts w:hint="eastAsia"/>
          <w:highlight w:val="none"/>
        </w:rPr>
        <w:t>地址：</w:t>
      </w:r>
    </w:p>
    <w:p w14:paraId="508A0919">
      <w:pPr>
        <w:pStyle w:val="10"/>
        <w:tabs>
          <w:tab w:val="left" w:pos="2440"/>
          <w:tab w:val="left" w:pos="9660"/>
        </w:tabs>
        <w:spacing w:line="364" w:lineRule="auto"/>
        <w:ind w:left="223" w:right="4820" w:firstLine="363"/>
        <w:rPr>
          <w:spacing w:val="-17"/>
          <w:highlight w:val="none"/>
        </w:rPr>
      </w:pPr>
      <w:r>
        <w:rPr>
          <w:highlight w:val="none"/>
        </w:rPr>
        <w:t>成立时间：</w:t>
      </w:r>
      <w:r>
        <w:rPr>
          <w:highlight w:val="none"/>
          <w:u w:val="single"/>
        </w:rPr>
        <w:tab/>
      </w:r>
      <w:r>
        <w:rPr>
          <w:highlight w:val="none"/>
        </w:rPr>
        <w:t>年月</w:t>
      </w:r>
      <w:r>
        <w:rPr>
          <w:spacing w:val="-17"/>
          <w:highlight w:val="none"/>
        </w:rPr>
        <w:t>日</w:t>
      </w:r>
    </w:p>
    <w:p w14:paraId="053C2B75">
      <w:pPr>
        <w:pStyle w:val="10"/>
        <w:tabs>
          <w:tab w:val="left" w:pos="2440"/>
          <w:tab w:val="left" w:pos="9660"/>
        </w:tabs>
        <w:spacing w:line="364" w:lineRule="auto"/>
        <w:ind w:left="223" w:right="4820" w:firstLine="363"/>
        <w:rPr>
          <w:highlight w:val="none"/>
        </w:rPr>
      </w:pPr>
      <w:r>
        <w:rPr>
          <w:rFonts w:hint="eastAsia"/>
          <w:highlight w:val="none"/>
        </w:rPr>
        <w:t>经营期限：</w:t>
      </w:r>
    </w:p>
    <w:p w14:paraId="4E562F64">
      <w:pPr>
        <w:pStyle w:val="10"/>
        <w:tabs>
          <w:tab w:val="left" w:pos="2200"/>
          <w:tab w:val="left" w:pos="3400"/>
          <w:tab w:val="left" w:pos="4480"/>
          <w:tab w:val="left" w:pos="9660"/>
        </w:tabs>
        <w:spacing w:line="362" w:lineRule="auto"/>
        <w:ind w:left="223" w:right="160" w:firstLine="363"/>
        <w:rPr>
          <w:highlight w:val="none"/>
        </w:rPr>
      </w:pPr>
      <w:r>
        <w:rPr>
          <w:highlight w:val="none"/>
        </w:rPr>
        <w:t>姓名：</w:t>
      </w:r>
      <w:r>
        <w:rPr>
          <w:highlight w:val="none"/>
          <w:u w:val="single"/>
        </w:rPr>
        <w:tab/>
      </w:r>
      <w:r>
        <w:rPr>
          <w:highlight w:val="none"/>
        </w:rPr>
        <w:t>性别：</w:t>
      </w:r>
      <w:r>
        <w:rPr>
          <w:highlight w:val="none"/>
          <w:u w:val="single"/>
        </w:rPr>
        <w:tab/>
      </w:r>
      <w:r>
        <w:rPr>
          <w:highlight w:val="none"/>
        </w:rPr>
        <w:t>年龄：</w:t>
      </w:r>
      <w:r>
        <w:rPr>
          <w:highlight w:val="none"/>
          <w:u w:val="single"/>
        </w:rPr>
        <w:tab/>
      </w:r>
      <w:r>
        <w:rPr>
          <w:highlight w:val="none"/>
        </w:rPr>
        <w:t>职务</w:t>
      </w:r>
      <w:r>
        <w:rPr>
          <w:spacing w:val="-20"/>
          <w:highlight w:val="none"/>
        </w:rPr>
        <w:t>：</w:t>
      </w:r>
      <w:r>
        <w:rPr>
          <w:rFonts w:hint="eastAsia"/>
          <w:spacing w:val="-20"/>
          <w:highlight w:val="none"/>
        </w:rPr>
        <w:t>，</w:t>
      </w:r>
      <w:r>
        <w:rPr>
          <w:highlight w:val="none"/>
        </w:rPr>
        <w:t>系</w:t>
      </w:r>
      <w:r>
        <w:rPr>
          <w:highlight w:val="none"/>
          <w:u w:val="single"/>
        </w:rPr>
        <w:t>（供应商名称）</w:t>
      </w:r>
      <w:r>
        <w:rPr>
          <w:highlight w:val="none"/>
        </w:rPr>
        <w:t xml:space="preserve">的法定代表人。 </w:t>
      </w:r>
    </w:p>
    <w:p w14:paraId="49AA542B">
      <w:pPr>
        <w:pStyle w:val="10"/>
        <w:tabs>
          <w:tab w:val="left" w:pos="9660"/>
        </w:tabs>
        <w:spacing w:before="3"/>
        <w:ind w:left="223" w:firstLine="363"/>
        <w:rPr>
          <w:highlight w:val="none"/>
        </w:rPr>
      </w:pPr>
      <w:r>
        <w:rPr>
          <w:highlight w:val="none"/>
        </w:rPr>
        <w:t xml:space="preserve">特此证明。 </w:t>
      </w:r>
    </w:p>
    <w:p w14:paraId="78CAB029">
      <w:pPr>
        <w:pStyle w:val="10"/>
        <w:tabs>
          <w:tab w:val="left" w:pos="9660"/>
        </w:tabs>
        <w:ind w:firstLine="363"/>
        <w:rPr>
          <w:highlight w:val="none"/>
        </w:rPr>
      </w:pPr>
    </w:p>
    <w:p w14:paraId="32D13354">
      <w:pPr>
        <w:pStyle w:val="10"/>
        <w:ind w:firstLine="363"/>
        <w:rPr>
          <w:highlight w:val="none"/>
        </w:rPr>
      </w:pPr>
    </w:p>
    <w:p w14:paraId="4132CA62">
      <w:pPr>
        <w:pStyle w:val="10"/>
        <w:ind w:firstLine="363"/>
        <w:rPr>
          <w:highlight w:val="none"/>
        </w:rPr>
      </w:pPr>
    </w:p>
    <w:p w14:paraId="3207829C">
      <w:pPr>
        <w:pStyle w:val="10"/>
        <w:spacing w:before="172"/>
        <w:ind w:right="1368" w:firstLine="363"/>
        <w:jc w:val="right"/>
        <w:rPr>
          <w:highlight w:val="none"/>
        </w:rPr>
      </w:pPr>
      <w:r>
        <w:rPr>
          <w:highlight w:val="none"/>
        </w:rPr>
        <w:t xml:space="preserve">供应商：（盖单位公章） </w:t>
      </w:r>
    </w:p>
    <w:p w14:paraId="7F1B27DE">
      <w:pPr>
        <w:pStyle w:val="10"/>
        <w:tabs>
          <w:tab w:val="left" w:pos="599"/>
          <w:tab w:val="left" w:pos="1199"/>
        </w:tabs>
        <w:spacing w:before="158"/>
        <w:ind w:right="1368" w:firstLine="363"/>
        <w:jc w:val="right"/>
        <w:rPr>
          <w:highlight w:val="none"/>
        </w:rPr>
      </w:pPr>
      <w:r>
        <w:rPr>
          <w:highlight w:val="none"/>
        </w:rPr>
        <w:t>年</w:t>
      </w:r>
      <w:r>
        <w:rPr>
          <w:highlight w:val="none"/>
        </w:rPr>
        <w:tab/>
      </w:r>
      <w:r>
        <w:rPr>
          <w:highlight w:val="none"/>
        </w:rPr>
        <w:t>月</w:t>
      </w:r>
      <w:r>
        <w:rPr>
          <w:highlight w:val="none"/>
        </w:rPr>
        <w:tab/>
      </w:r>
      <w:r>
        <w:rPr>
          <w:highlight w:val="none"/>
        </w:rPr>
        <w:t xml:space="preserve">日 </w:t>
      </w:r>
    </w:p>
    <w:p w14:paraId="2FFAEF07">
      <w:pPr>
        <w:pStyle w:val="10"/>
        <w:spacing w:before="8"/>
        <w:ind w:firstLine="259"/>
        <w:rPr>
          <w:sz w:val="15"/>
          <w:highlight w:val="none"/>
        </w:rPr>
      </w:pPr>
    </w:p>
    <w:p w14:paraId="798DE75D">
      <w:pPr>
        <w:jc w:val="left"/>
        <w:rPr>
          <w:sz w:val="24"/>
          <w:highlight w:val="none"/>
        </w:rPr>
      </w:pPr>
      <w:r>
        <w:rPr>
          <w:rFonts w:hint="eastAsia"/>
          <w:sz w:val="24"/>
          <w:highlight w:val="none"/>
        </w:rPr>
        <w:t>附：</w:t>
      </w:r>
      <w:r>
        <w:rPr>
          <w:sz w:val="24"/>
          <w:highlight w:val="none"/>
        </w:rPr>
        <w:t xml:space="preserve">法定代表人身份证（正反面） </w:t>
      </w:r>
    </w:p>
    <w:p w14:paraId="2A8CB0F7">
      <w:pPr>
        <w:pStyle w:val="10"/>
        <w:ind w:firstLine="363"/>
        <w:rPr>
          <w:highlight w:val="none"/>
        </w:rPr>
      </w:pPr>
    </w:p>
    <w:p w14:paraId="411E8C19">
      <w:pPr>
        <w:pStyle w:val="6"/>
        <w:rPr>
          <w:color w:val="auto"/>
          <w:highlight w:val="none"/>
        </w:rPr>
      </w:pPr>
    </w:p>
    <w:p w14:paraId="19FF40AF">
      <w:pPr>
        <w:tabs>
          <w:tab w:val="left" w:pos="3021"/>
        </w:tabs>
        <w:spacing w:before="158"/>
        <w:ind w:left="141"/>
        <w:jc w:val="left"/>
        <w:rPr>
          <w:b/>
          <w:sz w:val="24"/>
          <w:highlight w:val="none"/>
        </w:rPr>
      </w:pPr>
      <w:r>
        <w:rPr>
          <w:b/>
          <w:sz w:val="24"/>
          <w:highlight w:val="none"/>
        </w:rPr>
        <w:tab/>
      </w:r>
    </w:p>
    <w:p w14:paraId="217EE37A">
      <w:pPr>
        <w:jc w:val="left"/>
        <w:rPr>
          <w:sz w:val="24"/>
          <w:highlight w:val="none"/>
        </w:rPr>
        <w:sectPr>
          <w:footerReference r:id="rId6" w:type="default"/>
          <w:pgSz w:w="11920" w:h="16850"/>
          <w:pgMar w:top="1420" w:right="1220" w:bottom="1240" w:left="1040" w:header="0" w:footer="1043" w:gutter="0"/>
          <w:cols w:space="720" w:num="1"/>
        </w:sectPr>
      </w:pPr>
    </w:p>
    <w:p w14:paraId="4145BF86">
      <w:pPr>
        <w:numPr>
          <w:ilvl w:val="0"/>
          <w:numId w:val="25"/>
        </w:numPr>
        <w:spacing w:before="38" w:line="364" w:lineRule="auto"/>
        <w:ind w:left="3972" w:right="1460" w:hanging="1568"/>
        <w:jc w:val="left"/>
        <w:rPr>
          <w:b/>
          <w:sz w:val="24"/>
          <w:highlight w:val="none"/>
        </w:rPr>
      </w:pPr>
      <w:r>
        <w:rPr>
          <w:b/>
          <w:sz w:val="24"/>
          <w:highlight w:val="none"/>
        </w:rPr>
        <w:t>法定代表人授权书（以下格式为参考格式）</w:t>
      </w:r>
    </w:p>
    <w:p w14:paraId="3105A8D9">
      <w:pPr>
        <w:numPr>
          <w:ilvl w:val="255"/>
          <w:numId w:val="0"/>
        </w:numPr>
        <w:spacing w:before="38" w:line="364" w:lineRule="auto"/>
        <w:ind w:left="2404" w:right="1460"/>
        <w:jc w:val="center"/>
        <w:rPr>
          <w:b/>
          <w:sz w:val="24"/>
          <w:highlight w:val="none"/>
        </w:rPr>
      </w:pPr>
    </w:p>
    <w:p w14:paraId="30E53478">
      <w:pPr>
        <w:pStyle w:val="10"/>
        <w:ind w:firstLine="365"/>
        <w:rPr>
          <w:b/>
          <w:highlight w:val="none"/>
        </w:rPr>
      </w:pPr>
    </w:p>
    <w:p w14:paraId="0782D8CD">
      <w:pPr>
        <w:pStyle w:val="10"/>
        <w:spacing w:before="160" w:line="360" w:lineRule="auto"/>
        <w:ind w:left="223" w:firstLine="480" w:firstLineChars="200"/>
        <w:rPr>
          <w:sz w:val="24"/>
          <w:szCs w:val="24"/>
          <w:highlight w:val="none"/>
        </w:rPr>
      </w:pPr>
      <w:r>
        <w:rPr>
          <w:sz w:val="24"/>
          <w:szCs w:val="24"/>
          <w:highlight w:val="none"/>
        </w:rPr>
        <w:t>本人</w:t>
      </w:r>
      <w:r>
        <w:rPr>
          <w:sz w:val="24"/>
          <w:szCs w:val="24"/>
          <w:highlight w:val="none"/>
          <w:u w:val="single"/>
        </w:rPr>
        <w:t>（姓名）</w:t>
      </w:r>
      <w:r>
        <w:rPr>
          <w:sz w:val="24"/>
          <w:szCs w:val="24"/>
          <w:highlight w:val="none"/>
        </w:rPr>
        <w:t>系</w:t>
      </w:r>
      <w:r>
        <w:rPr>
          <w:sz w:val="24"/>
          <w:szCs w:val="24"/>
          <w:highlight w:val="none"/>
          <w:u w:val="single"/>
        </w:rPr>
        <w:t>（供应商名称）</w:t>
      </w:r>
      <w:r>
        <w:rPr>
          <w:sz w:val="24"/>
          <w:szCs w:val="24"/>
          <w:highlight w:val="none"/>
        </w:rPr>
        <w:t>的法定代表人，现委托</w:t>
      </w:r>
      <w:r>
        <w:rPr>
          <w:sz w:val="24"/>
          <w:szCs w:val="24"/>
          <w:highlight w:val="none"/>
          <w:u w:val="single"/>
        </w:rPr>
        <w:t>（姓名）</w:t>
      </w:r>
      <w:r>
        <w:rPr>
          <w:sz w:val="24"/>
          <w:szCs w:val="24"/>
          <w:highlight w:val="none"/>
        </w:rPr>
        <w:t>为我方代理人。代理人根据授权，以我方名义签署、澄清、说明、补正、递交、撤回、修改</w:t>
      </w:r>
      <w:r>
        <w:rPr>
          <w:sz w:val="24"/>
          <w:szCs w:val="24"/>
          <w:highlight w:val="none"/>
          <w:u w:val="single"/>
        </w:rPr>
        <w:t xml:space="preserve"> （项目名称）</w:t>
      </w:r>
      <w:r>
        <w:rPr>
          <w:rFonts w:hint="eastAsia"/>
          <w:sz w:val="24"/>
          <w:szCs w:val="24"/>
          <w:highlight w:val="none"/>
        </w:rPr>
        <w:t xml:space="preserve">包号 </w:t>
      </w:r>
      <w:r>
        <w:rPr>
          <w:sz w:val="24"/>
          <w:szCs w:val="24"/>
          <w:highlight w:val="none"/>
        </w:rPr>
        <w:t xml:space="preserve">响应文件、签订合同和处理有关事宜，其法律后果由我方承担。 </w:t>
      </w:r>
    </w:p>
    <w:p w14:paraId="2E2BC319">
      <w:pPr>
        <w:pStyle w:val="10"/>
        <w:spacing w:before="1" w:line="360" w:lineRule="auto"/>
        <w:ind w:left="223" w:firstLine="415"/>
        <w:rPr>
          <w:sz w:val="24"/>
          <w:szCs w:val="24"/>
          <w:highlight w:val="none"/>
        </w:rPr>
      </w:pPr>
      <w:r>
        <w:rPr>
          <w:sz w:val="24"/>
          <w:szCs w:val="24"/>
          <w:highlight w:val="none"/>
        </w:rPr>
        <w:t>委托期限：</w:t>
      </w:r>
      <w:r>
        <w:rPr>
          <w:sz w:val="24"/>
          <w:szCs w:val="24"/>
          <w:highlight w:val="none"/>
          <w:u w:val="single"/>
        </w:rPr>
        <w:t xml:space="preserve"> 自本授权委托书签署之日起至磋商有效期满 </w:t>
      </w:r>
      <w:r>
        <w:rPr>
          <w:sz w:val="24"/>
          <w:szCs w:val="24"/>
          <w:highlight w:val="none"/>
        </w:rPr>
        <w:t xml:space="preserve">。代理人无转委托权。 </w:t>
      </w:r>
    </w:p>
    <w:p w14:paraId="0015B0A5">
      <w:pPr>
        <w:pStyle w:val="10"/>
        <w:spacing w:line="360" w:lineRule="auto"/>
        <w:ind w:firstLine="415"/>
        <w:rPr>
          <w:sz w:val="24"/>
          <w:szCs w:val="24"/>
          <w:highlight w:val="none"/>
        </w:rPr>
      </w:pPr>
      <w:r>
        <w:rPr>
          <w:rFonts w:hint="eastAsia"/>
          <w:sz w:val="24"/>
          <w:szCs w:val="24"/>
          <w:highlight w:val="none"/>
        </w:rPr>
        <w:t>附：法定代表人及被委托代理人身份证（原件扫描件正反面）</w:t>
      </w:r>
    </w:p>
    <w:p w14:paraId="3272E630">
      <w:pPr>
        <w:pStyle w:val="10"/>
        <w:ind w:firstLine="346"/>
        <w:rPr>
          <w:sz w:val="20"/>
          <w:highlight w:val="none"/>
        </w:rPr>
      </w:pPr>
    </w:p>
    <w:p w14:paraId="4E843EA9">
      <w:pPr>
        <w:pStyle w:val="10"/>
        <w:ind w:firstLine="346"/>
        <w:rPr>
          <w:sz w:val="20"/>
          <w:highlight w:val="none"/>
        </w:rPr>
      </w:pPr>
    </w:p>
    <w:p w14:paraId="1986E532">
      <w:pPr>
        <w:pStyle w:val="10"/>
        <w:ind w:firstLine="346"/>
        <w:rPr>
          <w:sz w:val="20"/>
          <w:highlight w:val="none"/>
        </w:rPr>
      </w:pPr>
    </w:p>
    <w:p w14:paraId="360D8F7B">
      <w:pPr>
        <w:pStyle w:val="10"/>
        <w:ind w:firstLine="346"/>
        <w:rPr>
          <w:sz w:val="20"/>
          <w:highlight w:val="none"/>
        </w:rPr>
      </w:pPr>
    </w:p>
    <w:p w14:paraId="6FE30BEF">
      <w:pPr>
        <w:pStyle w:val="10"/>
        <w:spacing w:before="8"/>
        <w:ind w:firstLine="277"/>
        <w:rPr>
          <w:sz w:val="16"/>
          <w:highlight w:val="none"/>
        </w:rPr>
      </w:pPr>
    </w:p>
    <w:p w14:paraId="3B28380A">
      <w:pPr>
        <w:pStyle w:val="10"/>
        <w:spacing w:before="66"/>
        <w:ind w:left="223" w:firstLine="363"/>
        <w:rPr>
          <w:highlight w:val="none"/>
        </w:rPr>
      </w:pPr>
      <w:r>
        <w:rPr>
          <w:highlight w:val="none"/>
        </w:rPr>
        <w:t xml:space="preserve">供应商：（盖单位公章） </w:t>
      </w:r>
    </w:p>
    <w:p w14:paraId="64B8658B">
      <w:pPr>
        <w:pStyle w:val="10"/>
        <w:spacing w:before="158" w:line="364" w:lineRule="auto"/>
        <w:ind w:left="223" w:right="2952" w:firstLine="363"/>
        <w:rPr>
          <w:highlight w:val="none"/>
        </w:rPr>
      </w:pPr>
      <w:r>
        <w:rPr>
          <w:highlight w:val="none"/>
        </w:rPr>
        <w:t>法定代表人：（签字或盖章） 委托代理人：（签字或盖章）</w:t>
      </w:r>
    </w:p>
    <w:p w14:paraId="727541CD">
      <w:pPr>
        <w:pStyle w:val="10"/>
        <w:spacing w:before="158" w:line="364" w:lineRule="auto"/>
        <w:ind w:left="223" w:right="2952" w:firstLine="363"/>
        <w:rPr>
          <w:highlight w:val="none"/>
        </w:rPr>
      </w:pPr>
      <w:r>
        <w:rPr>
          <w:highlight w:val="none"/>
        </w:rPr>
        <w:t xml:space="preserve"> 年 月</w:t>
      </w:r>
      <w:r>
        <w:rPr>
          <w:rFonts w:hint="eastAsia"/>
          <w:highlight w:val="none"/>
          <w:lang w:val="en-US" w:eastAsia="zh-CN"/>
        </w:rPr>
        <w:t xml:space="preserve">  </w:t>
      </w:r>
      <w:r>
        <w:rPr>
          <w:highlight w:val="none"/>
        </w:rPr>
        <w:t xml:space="preserve">日 </w:t>
      </w:r>
    </w:p>
    <w:p w14:paraId="335C1CC5">
      <w:pPr>
        <w:pStyle w:val="10"/>
        <w:ind w:firstLine="346"/>
        <w:rPr>
          <w:sz w:val="20"/>
          <w:highlight w:val="none"/>
        </w:rPr>
      </w:pPr>
    </w:p>
    <w:p w14:paraId="11D44192">
      <w:pPr>
        <w:pStyle w:val="10"/>
        <w:ind w:firstLine="346"/>
        <w:rPr>
          <w:sz w:val="20"/>
          <w:highlight w:val="none"/>
        </w:rPr>
      </w:pPr>
    </w:p>
    <w:p w14:paraId="727B11D1">
      <w:pPr>
        <w:pStyle w:val="10"/>
        <w:spacing w:before="12"/>
        <w:ind w:firstLine="363"/>
        <w:rPr>
          <w:sz w:val="15"/>
          <w:highlight w:val="none"/>
        </w:rPr>
      </w:pPr>
      <w:r>
        <w:rPr>
          <w:highlight w:val="none"/>
        </w:rPr>
        <w:pict>
          <v:group id="_x0000_s1027" o:spid="_x0000_s1027" o:spt="203" style="position:absolute;left:0pt;margin-left:84.3pt;margin-top:12.1pt;height:169.75pt;width:426.9pt;mso-position-horizontal-relative:page;mso-wrap-distance-bottom:0pt;mso-wrap-distance-top:0pt;z-index:-251657216;mso-width-relative:page;mso-height-relative:page;" coordorigin="1686,243" coordsize="8538,3395203" o:gfxdata="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YeQAAAAARBg5AAAA&#10;ABFGDgAAAECEkQMAAAAQYeQAAAAARBg5AAAAABFGDgAAAECEkQMAAAAQYeQAAAAARBg5AAAAABF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YeQAAAAARBg5AAAA&#10;ABFGDgAAAECEkQMAAAAQYeQAAAAARBg5AAAAABFGDgAAAECEkQMAAAAQYeQAAAAARBg5AAAAABF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YeQAAAAARBg5AAAA&#10;ABFGDgAAAECEkQMAAAAQYeQAAAAARBg5AAAAABFGDgAAAECEkQMAAAAQYeQAAAAARBg5AAAAABF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YeQAAAAARBg5AAAA&#10;ABFGDgAAAECEkQMAAAAQYeQAAAAARBg5AAAAABFGDgAAAECEkQMAAAAQYeQAAAAARBg5AAAAABF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">
            <o:lock v:ext="edit"/>
            <v:shape id="_x0000_s1026" o:spid="_x0000_s1026" o:spt="75" type="#_x0000_t75" style="position:absolute;left:1686;top:243;height:3395;width:8538;" filled="f" o:preferrelative="t" stroked="f" coordsize="21600,21600" o:gfxdata="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dJ74A&#10;AADbAAAADwAAAAAAAAABACAAAAAiAAAAZHJzL2Rvd25yZXYueG1sUEsBAhQAFAAAAAgAh07iQDMv&#10;BZ47AAAAOQAAABAAAAAAAAAAAQAgAAAADQEAAGRycy9zaGFwZXhtbC54bWxQSwUGAAAAAAYABgBb&#10;AQAAtwMAAAAA&#10;">
              <v:path/>
              <v:fill on="f" focussize="0,0"/>
              <v:stroke on="f" joinstyle="miter"/>
              <v:imagedata r:id="rId10" o:title=""/>
              <o:lock v:ext="edit" aspectratio="t"/>
            </v:shape>
            <v:shape id="_x0000_s1029" o:spid="_x0000_s1029" o:spt="202" type="#_x0000_t202" style="position:absolute;left:1697;top:300;height:1166;width:186;"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path/>
              <v:fill on="f" focussize="0,0"/>
              <v:stroke on="f" joinstyle="miter"/>
              <v:imagedata o:title=""/>
              <o:lock v:ext="edit"/>
              <v:textbox inset="0mm,0mm,0mm,0mm">
                <w:txbxContent>
                  <w:p w14:paraId="1B0F25BD">
                    <w:pPr>
                      <w:spacing w:line="364" w:lineRule="exact"/>
                      <w:jc w:val="left"/>
                      <w:rPr>
                        <w:sz w:val="32"/>
                      </w:rPr>
                    </w:pPr>
                  </w:p>
                  <w:p w14:paraId="3ACAE703">
                    <w:pPr>
                      <w:spacing w:before="5"/>
                      <w:jc w:val="left"/>
                      <w:rPr>
                        <w:sz w:val="32"/>
                      </w:rPr>
                    </w:pPr>
                  </w:p>
                  <w:p w14:paraId="2768F59C">
                    <w:pPr>
                      <w:spacing w:before="9" w:line="377" w:lineRule="exact"/>
                      <w:jc w:val="left"/>
                      <w:rPr>
                        <w:sz w:val="33"/>
                      </w:rPr>
                    </w:pPr>
                  </w:p>
                </w:txbxContent>
              </v:textbox>
            </v:shape>
            <v:shape id="_x0000_s1028" o:spid="_x0000_s1028" o:spt="202" type="#_x0000_t202" style="position:absolute;left:3877;top:1563;height:1408;width:423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14:paraId="29A1E602">
                    <w:pPr>
                      <w:spacing w:line="360" w:lineRule="auto"/>
                      <w:jc w:val="left"/>
                      <w:rPr>
                        <w:sz w:val="32"/>
                      </w:rPr>
                    </w:pPr>
                    <w:r>
                      <w:rPr>
                        <w:rFonts w:hint="eastAsia"/>
                        <w:sz w:val="32"/>
                      </w:rPr>
                      <w:t>法定代表人身份证（正反面）</w:t>
                    </w:r>
                  </w:p>
                  <w:p w14:paraId="6FD836BA">
                    <w:pPr>
                      <w:spacing w:line="360" w:lineRule="auto"/>
                      <w:jc w:val="left"/>
                      <w:rPr>
                        <w:sz w:val="32"/>
                      </w:rPr>
                    </w:pPr>
                    <w:r>
                      <w:rPr>
                        <w:sz w:val="32"/>
                      </w:rPr>
                      <w:t xml:space="preserve">委托代理人身份证（正反面） </w:t>
                    </w:r>
                  </w:p>
                </w:txbxContent>
              </v:textbox>
            </v:shape>
            <w10:wrap type="topAndBottom"/>
          </v:group>
        </w:pict>
      </w:r>
    </w:p>
    <w:p w14:paraId="5600D453">
      <w:pPr>
        <w:pStyle w:val="10"/>
        <w:spacing w:line="282" w:lineRule="exact"/>
        <w:ind w:firstLine="363"/>
        <w:rPr>
          <w:highlight w:val="none"/>
        </w:rPr>
      </w:pPr>
      <w:r>
        <w:rPr>
          <w:rFonts w:hint="eastAsia"/>
          <w:highlight w:val="none"/>
        </w:rPr>
        <w:t>注：法定代表人本人作为供应商代表参加磋商的不需要附此项（法定代表人授权委托书）</w:t>
      </w:r>
    </w:p>
    <w:p w14:paraId="55A1A5B0">
      <w:pPr>
        <w:pStyle w:val="10"/>
        <w:spacing w:before="161"/>
        <w:ind w:firstLine="363"/>
        <w:rPr>
          <w:highlight w:val="none"/>
        </w:rPr>
      </w:pPr>
    </w:p>
    <w:p w14:paraId="3DC269BC">
      <w:pPr>
        <w:pStyle w:val="3"/>
        <w:tabs>
          <w:tab w:val="left" w:pos="3021"/>
        </w:tabs>
        <w:spacing w:before="157"/>
        <w:ind w:left="141"/>
        <w:jc w:val="left"/>
        <w:rPr>
          <w:highlight w:val="none"/>
        </w:rPr>
      </w:pPr>
      <w:r>
        <w:rPr>
          <w:highlight w:val="none"/>
        </w:rPr>
        <w:tab/>
      </w:r>
    </w:p>
    <w:p w14:paraId="4C8BBD89">
      <w:pPr>
        <w:jc w:val="left"/>
        <w:rPr>
          <w:highlight w:val="none"/>
        </w:rPr>
        <w:sectPr>
          <w:pgSz w:w="11920" w:h="16850"/>
          <w:pgMar w:top="1420" w:right="1220" w:bottom="1240" w:left="1040" w:header="0" w:footer="1043" w:gutter="0"/>
          <w:cols w:space="720" w:num="1"/>
        </w:sectPr>
      </w:pPr>
    </w:p>
    <w:p w14:paraId="63633322">
      <w:pPr>
        <w:tabs>
          <w:tab w:val="left" w:pos="9660"/>
        </w:tabs>
        <w:spacing w:before="40"/>
        <w:ind w:left="707"/>
        <w:jc w:val="center"/>
        <w:rPr>
          <w:b/>
          <w:sz w:val="32"/>
          <w:highlight w:val="none"/>
        </w:rPr>
      </w:pPr>
      <w:bookmarkStart w:id="623" w:name="_bookmark8"/>
      <w:bookmarkEnd w:id="623"/>
      <w:bookmarkStart w:id="624" w:name="三、磋商承诺函及招标代理服务费承诺函"/>
      <w:bookmarkEnd w:id="624"/>
      <w:r>
        <w:rPr>
          <w:b/>
          <w:sz w:val="32"/>
          <w:highlight w:val="none"/>
        </w:rPr>
        <w:t>三、磋商承诺函及招标代理服务费承诺函</w:t>
      </w:r>
    </w:p>
    <w:p w14:paraId="6C5225AE">
      <w:pPr>
        <w:spacing w:before="213"/>
        <w:ind w:left="623"/>
        <w:jc w:val="center"/>
        <w:rPr>
          <w:b/>
          <w:sz w:val="24"/>
          <w:highlight w:val="none"/>
        </w:rPr>
      </w:pPr>
      <w:r>
        <w:rPr>
          <w:b/>
          <w:sz w:val="24"/>
          <w:highlight w:val="none"/>
        </w:rPr>
        <w:t>（一）磋商承诺函</w:t>
      </w:r>
    </w:p>
    <w:p w14:paraId="4788BDC2">
      <w:pPr>
        <w:spacing w:before="213"/>
        <w:ind w:left="623"/>
        <w:jc w:val="left"/>
        <w:rPr>
          <w:sz w:val="24"/>
          <w:highlight w:val="none"/>
        </w:rPr>
      </w:pPr>
      <w:r>
        <w:rPr>
          <w:sz w:val="24"/>
          <w:highlight w:val="none"/>
        </w:rPr>
        <w:t>致（</w:t>
      </w:r>
      <w:r>
        <w:rPr>
          <w:sz w:val="24"/>
          <w:highlight w:val="none"/>
          <w:u w:val="single"/>
        </w:rPr>
        <w:t>采购人及采购代理机构</w:t>
      </w:r>
      <w:r>
        <w:rPr>
          <w:sz w:val="24"/>
          <w:highlight w:val="none"/>
        </w:rPr>
        <w:t xml:space="preserve">）： </w:t>
      </w:r>
    </w:p>
    <w:p w14:paraId="4B638345">
      <w:pPr>
        <w:pStyle w:val="10"/>
        <w:spacing w:before="158"/>
        <w:ind w:left="223" w:firstLine="363"/>
        <w:rPr>
          <w:highlight w:val="none"/>
        </w:rPr>
      </w:pPr>
      <w:r>
        <w:rPr>
          <w:highlight w:val="none"/>
        </w:rPr>
        <w:t xml:space="preserve">我公司作为本次采购项目的供应商，根据磋商文件要求，现郑重承诺如下： </w:t>
      </w:r>
    </w:p>
    <w:p w14:paraId="5AF5C4DD">
      <w:pPr>
        <w:pStyle w:val="10"/>
        <w:spacing w:before="160"/>
        <w:ind w:left="223" w:firstLine="363"/>
        <w:rPr>
          <w:highlight w:val="none"/>
        </w:rPr>
      </w:pPr>
      <w:r>
        <w:rPr>
          <w:highlight w:val="none"/>
        </w:rPr>
        <w:t xml:space="preserve">一、具备《中华人民共和国政府采购法》第二十二条第一款和本项目规定的条件： </w:t>
      </w:r>
    </w:p>
    <w:p w14:paraId="3724F7FF">
      <w:pPr>
        <w:pStyle w:val="10"/>
        <w:tabs>
          <w:tab w:val="left" w:pos="9450"/>
        </w:tabs>
        <w:spacing w:before="158"/>
        <w:ind w:left="223" w:right="199" w:rightChars="95" w:firstLine="363"/>
        <w:rPr>
          <w:highlight w:val="none"/>
        </w:rPr>
      </w:pPr>
      <w:r>
        <w:rPr>
          <w:highlight w:val="none"/>
        </w:rPr>
        <w:t xml:space="preserve">（一）具有独立承担民事责任的能力； </w:t>
      </w:r>
    </w:p>
    <w:p w14:paraId="1D1A86A3">
      <w:pPr>
        <w:pStyle w:val="10"/>
        <w:spacing w:before="161"/>
        <w:ind w:left="223" w:firstLine="363"/>
        <w:rPr>
          <w:highlight w:val="none"/>
        </w:rPr>
      </w:pPr>
      <w:r>
        <w:rPr>
          <w:highlight w:val="none"/>
        </w:rPr>
        <w:t xml:space="preserve">（二）具有良好的商业信誉和健全的财务会计制度； </w:t>
      </w:r>
    </w:p>
    <w:p w14:paraId="3C47247B">
      <w:pPr>
        <w:pStyle w:val="10"/>
        <w:spacing w:before="158"/>
        <w:ind w:left="223" w:firstLine="363"/>
        <w:rPr>
          <w:highlight w:val="none"/>
        </w:rPr>
      </w:pPr>
      <w:r>
        <w:rPr>
          <w:highlight w:val="none"/>
        </w:rPr>
        <w:t xml:space="preserve">（三）具有履行合同所必需的设备和专业技术能力； </w:t>
      </w:r>
    </w:p>
    <w:p w14:paraId="5CB7B825">
      <w:pPr>
        <w:pStyle w:val="10"/>
        <w:spacing w:before="160"/>
        <w:ind w:left="223" w:firstLine="363"/>
        <w:rPr>
          <w:highlight w:val="none"/>
        </w:rPr>
      </w:pPr>
      <w:r>
        <w:rPr>
          <w:highlight w:val="none"/>
        </w:rPr>
        <w:t xml:space="preserve">（四）有依法缴纳税收和社会保障资金的良好记录； </w:t>
      </w:r>
    </w:p>
    <w:p w14:paraId="4FF4C4A4">
      <w:pPr>
        <w:pStyle w:val="10"/>
        <w:spacing w:before="159"/>
        <w:ind w:left="223" w:firstLine="363"/>
        <w:rPr>
          <w:highlight w:val="none"/>
        </w:rPr>
      </w:pPr>
      <w:r>
        <w:rPr>
          <w:highlight w:val="none"/>
        </w:rPr>
        <w:t xml:space="preserve">（五）参加政府采购活动前三年内，在经营活动中没有重大违法记录； </w:t>
      </w:r>
    </w:p>
    <w:p w14:paraId="0AF19C01">
      <w:pPr>
        <w:pStyle w:val="10"/>
        <w:spacing w:before="161"/>
        <w:ind w:left="223" w:firstLine="363"/>
        <w:rPr>
          <w:highlight w:val="none"/>
        </w:rPr>
      </w:pPr>
      <w:r>
        <w:rPr>
          <w:highlight w:val="none"/>
        </w:rPr>
        <w:t xml:space="preserve">（六）法律、行政法规规定的其他条件； </w:t>
      </w:r>
    </w:p>
    <w:p w14:paraId="309A4C65">
      <w:pPr>
        <w:pStyle w:val="10"/>
        <w:spacing w:before="158"/>
        <w:ind w:left="223" w:firstLine="363"/>
        <w:rPr>
          <w:highlight w:val="none"/>
        </w:rPr>
      </w:pPr>
      <w:r>
        <w:rPr>
          <w:highlight w:val="none"/>
        </w:rPr>
        <w:t xml:space="preserve">（七）根据采购项目提出的特殊条件。 </w:t>
      </w:r>
    </w:p>
    <w:p w14:paraId="12BE7263">
      <w:pPr>
        <w:pStyle w:val="10"/>
        <w:tabs>
          <w:tab w:val="left" w:pos="7980"/>
          <w:tab w:val="left" w:pos="9460"/>
          <w:tab w:val="left" w:pos="9660"/>
        </w:tabs>
        <w:spacing w:before="160" w:line="364" w:lineRule="auto"/>
        <w:ind w:firstLine="363"/>
        <w:rPr>
          <w:highlight w:val="none"/>
        </w:rPr>
      </w:pPr>
      <w:r>
        <w:rPr>
          <w:highlight w:val="none"/>
        </w:rPr>
        <w:t xml:space="preserve">二、完全接受和满足本项目磋商文件中规定的实质性要求，如对磋商文件有异议，已经在磋商截止时间届满前依法进行维权，不存在对磋商文件有异议同时又参加磋商以求侥幸成交或者为实现其他非法目的的行为。 </w:t>
      </w:r>
    </w:p>
    <w:p w14:paraId="1101BCC4">
      <w:pPr>
        <w:pStyle w:val="10"/>
        <w:tabs>
          <w:tab w:val="left" w:pos="9660"/>
          <w:tab w:val="left" w:pos="9880"/>
        </w:tabs>
        <w:spacing w:line="362" w:lineRule="auto"/>
        <w:ind w:firstLine="363"/>
        <w:rPr>
          <w:highlight w:val="none"/>
        </w:rPr>
      </w:pPr>
      <w:r>
        <w:rPr>
          <w:highlight w:val="none"/>
        </w:rPr>
        <w:t xml:space="preserve">三、参加本次采购活动，不存在与单位负责人为同一人或者存在直接控股、管理关系的其他供应商参与同一合同项下的政府采购活动的行为。 </w:t>
      </w:r>
    </w:p>
    <w:p w14:paraId="6596DC12">
      <w:pPr>
        <w:pStyle w:val="10"/>
        <w:tabs>
          <w:tab w:val="left" w:pos="9660"/>
          <w:tab w:val="left" w:pos="9880"/>
        </w:tabs>
        <w:spacing w:before="5" w:line="362" w:lineRule="auto"/>
        <w:ind w:firstLine="363"/>
        <w:rPr>
          <w:highlight w:val="none"/>
        </w:rPr>
      </w:pPr>
      <w:r>
        <w:rPr>
          <w:highlight w:val="none"/>
        </w:rPr>
        <w:t xml:space="preserve">四、参加本次采购活动，不存在为采购项目提供整体设计、规范编制或者项目管理、监理、检测等服务的行为。 </w:t>
      </w:r>
    </w:p>
    <w:p w14:paraId="4C8585A4">
      <w:pPr>
        <w:pStyle w:val="10"/>
        <w:tabs>
          <w:tab w:val="left" w:pos="9660"/>
          <w:tab w:val="left" w:pos="9880"/>
        </w:tabs>
        <w:spacing w:before="5" w:line="362" w:lineRule="auto"/>
        <w:ind w:firstLine="363"/>
        <w:rPr>
          <w:highlight w:val="none"/>
        </w:rPr>
      </w:pPr>
      <w:r>
        <w:rPr>
          <w:highlight w:val="none"/>
        </w:rPr>
        <w:t xml:space="preserve">五、参加本次采购活动，不存在和其他供应商在同一合同项下的采购项目中， 同时委托同一个自然人、同一家庭的人员、同一单位的人员作为代理人的行为。 </w:t>
      </w:r>
    </w:p>
    <w:p w14:paraId="3A96364C">
      <w:pPr>
        <w:pStyle w:val="10"/>
        <w:tabs>
          <w:tab w:val="left" w:pos="7770"/>
          <w:tab w:val="left" w:pos="8190"/>
          <w:tab w:val="left" w:pos="9040"/>
          <w:tab w:val="left" w:pos="9660"/>
          <w:tab w:val="left" w:pos="9880"/>
        </w:tabs>
        <w:spacing w:before="5" w:line="362" w:lineRule="auto"/>
        <w:ind w:firstLine="363"/>
        <w:rPr>
          <w:highlight w:val="none"/>
        </w:rPr>
      </w:pPr>
      <w:r>
        <w:rPr>
          <w:highlight w:val="none"/>
        </w:rPr>
        <w:t xml:space="preserve">六、供应商参加本次政府采购活动要求在近三年内供应商和其法定代表人没有行贿犯罪行为。 </w:t>
      </w:r>
    </w:p>
    <w:p w14:paraId="389E1D82">
      <w:pPr>
        <w:pStyle w:val="10"/>
        <w:tabs>
          <w:tab w:val="left" w:pos="9660"/>
          <w:tab w:val="left" w:pos="9880"/>
        </w:tabs>
        <w:spacing w:before="5" w:line="364" w:lineRule="auto"/>
        <w:ind w:firstLine="363"/>
        <w:rPr>
          <w:highlight w:val="none"/>
        </w:rPr>
      </w:pPr>
      <w:r>
        <w:rPr>
          <w:highlight w:val="none"/>
        </w:rPr>
        <w:t xml:space="preserve">七、响应文件中提供的能够给予我公司带来优惠、好处的任何材料资料和技术、服务、商务等响应承诺情况都是真实的、有效的、合法的。 </w:t>
      </w:r>
    </w:p>
    <w:p w14:paraId="21892E44">
      <w:pPr>
        <w:pStyle w:val="10"/>
        <w:tabs>
          <w:tab w:val="left" w:pos="9660"/>
          <w:tab w:val="left" w:pos="9880"/>
        </w:tabs>
        <w:spacing w:line="364" w:lineRule="auto"/>
        <w:ind w:firstLine="363"/>
        <w:rPr>
          <w:highlight w:val="none"/>
        </w:rPr>
      </w:pPr>
      <w:r>
        <w:rPr>
          <w:highlight w:val="none"/>
        </w:rPr>
        <w:t>八、如本项目磋商过程中需要提供样品，则我公司提供的样品即为成交后将要提供的成交产品，我公司对提供样品的性能和质量负责，因样品存在缺陷或者不符合磋商文件要求导致未能成交的，我公司愿意承担相应不利后果。</w:t>
      </w:r>
    </w:p>
    <w:p w14:paraId="3CDB1CAB">
      <w:pPr>
        <w:pStyle w:val="10"/>
        <w:tabs>
          <w:tab w:val="left" w:pos="9660"/>
          <w:tab w:val="left" w:pos="9880"/>
        </w:tabs>
        <w:spacing w:line="364" w:lineRule="auto"/>
        <w:ind w:firstLine="363"/>
        <w:rPr>
          <w:highlight w:val="none"/>
        </w:rPr>
      </w:pPr>
      <w:r>
        <w:rPr>
          <w:highlight w:val="none"/>
        </w:rPr>
        <w:t xml:space="preserve">九、存在以下行为之一的愿意接受相关部门的处理： </w:t>
      </w:r>
    </w:p>
    <w:p w14:paraId="1B048FF3">
      <w:pPr>
        <w:pStyle w:val="10"/>
        <w:spacing w:line="305" w:lineRule="exact"/>
        <w:ind w:left="223" w:firstLine="363"/>
        <w:rPr>
          <w:highlight w:val="none"/>
        </w:rPr>
      </w:pPr>
      <w:r>
        <w:rPr>
          <w:highlight w:val="none"/>
        </w:rPr>
        <w:t xml:space="preserve">（一）磋商有效期内撤销响应文件的； </w:t>
      </w:r>
    </w:p>
    <w:p w14:paraId="225C3DB0">
      <w:pPr>
        <w:pStyle w:val="10"/>
        <w:spacing w:before="160"/>
        <w:ind w:left="223" w:firstLine="363"/>
        <w:rPr>
          <w:highlight w:val="none"/>
        </w:rPr>
      </w:pPr>
      <w:r>
        <w:rPr>
          <w:highlight w:val="none"/>
        </w:rPr>
        <w:t xml:space="preserve">（二）在采购人确定成交人以前放弃成交候选资格的； </w:t>
      </w:r>
    </w:p>
    <w:p w14:paraId="39517C21">
      <w:pPr>
        <w:rPr>
          <w:highlight w:val="none"/>
        </w:rPr>
        <w:sectPr>
          <w:pgSz w:w="11920" w:h="16850"/>
          <w:pgMar w:top="1420" w:right="1220" w:bottom="1240" w:left="1040" w:header="0" w:footer="1043" w:gutter="0"/>
          <w:cols w:space="720" w:num="1"/>
        </w:sectPr>
      </w:pPr>
    </w:p>
    <w:p w14:paraId="3C778155">
      <w:pPr>
        <w:pStyle w:val="10"/>
        <w:spacing w:before="38"/>
        <w:ind w:left="223" w:firstLine="363"/>
        <w:rPr>
          <w:highlight w:val="none"/>
        </w:rPr>
      </w:pPr>
      <w:r>
        <w:rPr>
          <w:highlight w:val="none"/>
        </w:rPr>
        <w:t xml:space="preserve">（三）由于成交人的原因未能按照磋商文件的规定与采购人签订合同； </w:t>
      </w:r>
    </w:p>
    <w:p w14:paraId="50CFBF11">
      <w:pPr>
        <w:pStyle w:val="10"/>
        <w:spacing w:before="161"/>
        <w:ind w:left="223" w:firstLine="363"/>
        <w:rPr>
          <w:highlight w:val="none"/>
        </w:rPr>
      </w:pPr>
      <w:r>
        <w:rPr>
          <w:highlight w:val="none"/>
        </w:rPr>
        <w:t xml:space="preserve">（四）在响应文件中提供虚假材料谋取成交； </w:t>
      </w:r>
    </w:p>
    <w:p w14:paraId="4887CD6E">
      <w:pPr>
        <w:pStyle w:val="10"/>
        <w:spacing w:before="161"/>
        <w:ind w:left="223" w:firstLine="363"/>
        <w:rPr>
          <w:highlight w:val="none"/>
        </w:rPr>
      </w:pPr>
      <w:r>
        <w:rPr>
          <w:highlight w:val="none"/>
        </w:rPr>
        <w:t>（五）与采购人、其他供应商或者采购代理机构恶意串通的；</w:t>
      </w:r>
    </w:p>
    <w:p w14:paraId="572A86CE">
      <w:pPr>
        <w:pStyle w:val="10"/>
        <w:spacing w:before="161"/>
        <w:ind w:left="223" w:firstLine="363"/>
        <w:rPr>
          <w:rFonts w:hint="default" w:ascii="Times New Roman" w:hAnsi="Times New Roman" w:eastAsia="宋体" w:cs="Times New Roman"/>
          <w:b w:val="0"/>
          <w:bCs w:val="0"/>
          <w:sz w:val="21"/>
          <w:szCs w:val="20"/>
          <w:highlight w:val="none"/>
        </w:rPr>
      </w:pPr>
      <w:r>
        <w:rPr>
          <w:highlight w:val="none"/>
        </w:rPr>
        <w:t>（六）</w:t>
      </w:r>
      <w:r>
        <w:rPr>
          <w:rFonts w:hint="default" w:ascii="Times New Roman" w:hAnsi="Times New Roman" w:eastAsia="宋体" w:cs="Times New Roman"/>
          <w:b w:val="0"/>
          <w:bCs w:val="0"/>
          <w:sz w:val="21"/>
          <w:szCs w:val="20"/>
          <w:highlight w:val="none"/>
        </w:rPr>
        <w:t>.与采购人、采购人就本次采购的项目委托的代理机构以及上述机构的附属机构没有行政或经济关联。</w:t>
      </w:r>
    </w:p>
    <w:p w14:paraId="14CEC88B">
      <w:pPr>
        <w:pStyle w:val="10"/>
        <w:spacing w:before="161"/>
        <w:ind w:left="223" w:firstLine="363"/>
        <w:rPr>
          <w:highlight w:val="none"/>
        </w:rPr>
      </w:pPr>
      <w:r>
        <w:rPr>
          <w:rFonts w:hint="default" w:cs="Times New Roman"/>
          <w:b w:val="0"/>
          <w:bCs w:val="0"/>
          <w:sz w:val="21"/>
          <w:szCs w:val="20"/>
          <w:highlight w:val="none"/>
          <w:lang w:eastAsia="zh-CN"/>
        </w:rPr>
        <w:t>（</w:t>
      </w:r>
      <w:r>
        <w:rPr>
          <w:rFonts w:hint="eastAsia" w:cs="Times New Roman"/>
          <w:b w:val="0"/>
          <w:bCs w:val="0"/>
          <w:sz w:val="21"/>
          <w:szCs w:val="20"/>
          <w:highlight w:val="none"/>
          <w:lang w:eastAsia="zh-CN"/>
        </w:rPr>
        <w:t>七</w:t>
      </w:r>
      <w:r>
        <w:rPr>
          <w:rFonts w:hint="default" w:cs="Times New Roman"/>
          <w:b w:val="0"/>
          <w:bCs w:val="0"/>
          <w:sz w:val="21"/>
          <w:szCs w:val="20"/>
          <w:highlight w:val="none"/>
          <w:lang w:eastAsia="zh-CN"/>
        </w:rPr>
        <w:t>）</w:t>
      </w:r>
      <w:r>
        <w:rPr>
          <w:rFonts w:hint="default" w:ascii="Times New Roman" w:hAnsi="Times New Roman" w:eastAsia="宋体" w:cs="Times New Roman"/>
          <w:b w:val="0"/>
          <w:bCs w:val="0"/>
          <w:sz w:val="21"/>
          <w:szCs w:val="20"/>
          <w:highlight w:val="none"/>
        </w:rPr>
        <w:t>不存在“单位负责人为同一人或者存在直接控股、管理关系的不同供应商，参加同一合同项下的政府采购活动”情形。</w:t>
      </w:r>
      <w:r>
        <w:rPr>
          <w:highlight w:val="none"/>
        </w:rPr>
        <w:t xml:space="preserve"> </w:t>
      </w:r>
    </w:p>
    <w:p w14:paraId="6A6C89FC">
      <w:pPr>
        <w:pStyle w:val="10"/>
        <w:spacing w:before="161" w:line="240" w:lineRule="auto"/>
        <w:ind w:left="223" w:firstLine="363"/>
        <w:rPr>
          <w:highlight w:val="none"/>
        </w:rPr>
      </w:pPr>
      <w:r>
        <w:rPr>
          <w:highlight w:val="none"/>
        </w:rPr>
        <w:t>（</w:t>
      </w:r>
      <w:r>
        <w:rPr>
          <w:rFonts w:hint="eastAsia"/>
          <w:highlight w:val="none"/>
          <w:lang w:eastAsia="zh-CN"/>
        </w:rPr>
        <w:t>八</w:t>
      </w:r>
      <w:r>
        <w:rPr>
          <w:highlight w:val="none"/>
        </w:rPr>
        <w:t xml:space="preserve">）磋商有效期内，供应商在政府采购活动中有违法、违规、违纪行为。由此产生的一切法律后果和责任由我公司承担。我公司声明放弃对此提出任何异议和追索的权利。 </w:t>
      </w:r>
    </w:p>
    <w:p w14:paraId="0CA1DFAC">
      <w:pPr>
        <w:pStyle w:val="10"/>
        <w:spacing w:line="364" w:lineRule="auto"/>
        <w:ind w:firstLine="363"/>
        <w:rPr>
          <w:highlight w:val="none"/>
        </w:rPr>
      </w:pPr>
      <w:r>
        <w:rPr>
          <w:highlight w:val="none"/>
        </w:rPr>
        <w:t xml:space="preserve">本公司对上述承诺的内容事项真实性负责。如经查实上述承诺的内容事项存在虚假，我公司愿意接受以提供虚假材料谋取成交追究法律责任。 </w:t>
      </w:r>
    </w:p>
    <w:p w14:paraId="32945A86">
      <w:pPr>
        <w:pStyle w:val="10"/>
        <w:spacing w:line="307" w:lineRule="exact"/>
        <w:ind w:firstLine="363"/>
        <w:rPr>
          <w:highlight w:val="none"/>
        </w:rPr>
      </w:pPr>
    </w:p>
    <w:p w14:paraId="293E1734">
      <w:pPr>
        <w:pStyle w:val="10"/>
        <w:spacing w:before="160"/>
        <w:ind w:firstLine="363"/>
        <w:rPr>
          <w:highlight w:val="none"/>
        </w:rPr>
      </w:pPr>
    </w:p>
    <w:p w14:paraId="71F261FF">
      <w:pPr>
        <w:pStyle w:val="10"/>
        <w:spacing w:before="158"/>
        <w:ind w:firstLine="363"/>
        <w:rPr>
          <w:highlight w:val="none"/>
        </w:rPr>
      </w:pPr>
    </w:p>
    <w:p w14:paraId="12C83AF0">
      <w:pPr>
        <w:pStyle w:val="10"/>
        <w:tabs>
          <w:tab w:val="left" w:pos="6461"/>
        </w:tabs>
        <w:spacing w:before="160"/>
        <w:ind w:left="223" w:firstLine="363"/>
        <w:rPr>
          <w:highlight w:val="none"/>
        </w:rPr>
      </w:pPr>
      <w:r>
        <w:rPr>
          <w:highlight w:val="none"/>
        </w:rPr>
        <w:t>供应商名称：</w:t>
      </w:r>
      <w:r>
        <w:rPr>
          <w:highlight w:val="none"/>
          <w:u w:val="single"/>
        </w:rPr>
        <w:tab/>
      </w:r>
      <w:r>
        <w:rPr>
          <w:highlight w:val="none"/>
        </w:rPr>
        <w:t xml:space="preserve">（盖章） </w:t>
      </w:r>
    </w:p>
    <w:p w14:paraId="624734BA">
      <w:pPr>
        <w:pStyle w:val="10"/>
        <w:tabs>
          <w:tab w:val="left" w:pos="7061"/>
          <w:tab w:val="left" w:pos="7392"/>
        </w:tabs>
        <w:spacing w:before="158" w:line="364" w:lineRule="auto"/>
        <w:ind w:left="223" w:right="200" w:firstLine="363"/>
        <w:rPr>
          <w:spacing w:val="-17"/>
          <w:highlight w:val="none"/>
        </w:rPr>
      </w:pPr>
      <w:r>
        <w:rPr>
          <w:highlight w:val="none"/>
        </w:rPr>
        <w:t>法定代表人或授权代表：</w:t>
      </w:r>
      <w:r>
        <w:rPr>
          <w:highlight w:val="none"/>
          <w:u w:val="single"/>
        </w:rPr>
        <w:tab/>
      </w:r>
      <w:r>
        <w:rPr>
          <w:highlight w:val="none"/>
          <w:u w:val="single"/>
        </w:rPr>
        <w:tab/>
      </w:r>
      <w:r>
        <w:rPr>
          <w:highlight w:val="none"/>
        </w:rPr>
        <w:t>（签字或盖章</w:t>
      </w:r>
      <w:r>
        <w:rPr>
          <w:spacing w:val="-17"/>
          <w:highlight w:val="none"/>
        </w:rPr>
        <w:t xml:space="preserve">） </w:t>
      </w:r>
    </w:p>
    <w:p w14:paraId="26B7E70E">
      <w:pPr>
        <w:pStyle w:val="10"/>
        <w:tabs>
          <w:tab w:val="left" w:pos="7061"/>
          <w:tab w:val="left" w:pos="7392"/>
        </w:tabs>
        <w:spacing w:before="158" w:line="364" w:lineRule="auto"/>
        <w:ind w:left="223" w:right="1272" w:firstLine="363"/>
        <w:rPr>
          <w:highlight w:val="none"/>
        </w:rPr>
      </w:pPr>
      <w:r>
        <w:rPr>
          <w:highlight w:val="none"/>
        </w:rPr>
        <w:t>日期：</w:t>
      </w:r>
      <w:r>
        <w:rPr>
          <w:highlight w:val="none"/>
          <w:u w:val="single"/>
        </w:rPr>
        <w:tab/>
      </w:r>
    </w:p>
    <w:p w14:paraId="72CCAB51">
      <w:pPr>
        <w:spacing w:line="364" w:lineRule="auto"/>
        <w:rPr>
          <w:highlight w:val="none"/>
        </w:rPr>
        <w:sectPr>
          <w:pgSz w:w="11920" w:h="16850"/>
          <w:pgMar w:top="1420" w:right="1220" w:bottom="1240" w:left="1040" w:header="0" w:footer="1043" w:gutter="0"/>
          <w:cols w:space="720" w:num="1"/>
        </w:sectPr>
      </w:pPr>
    </w:p>
    <w:p w14:paraId="373C76D3">
      <w:pPr>
        <w:pStyle w:val="6"/>
        <w:rPr>
          <w:color w:val="auto"/>
          <w:highlight w:val="none"/>
        </w:rPr>
      </w:pPr>
      <w:r>
        <w:rPr>
          <w:color w:val="auto"/>
          <w:highlight w:val="none"/>
        </w:rPr>
        <w:t>（二）招标代理服务费承诺函</w:t>
      </w:r>
    </w:p>
    <w:p w14:paraId="26E15DCB">
      <w:pPr>
        <w:pStyle w:val="10"/>
        <w:ind w:firstLine="347"/>
        <w:rPr>
          <w:b/>
          <w:sz w:val="20"/>
          <w:highlight w:val="none"/>
        </w:rPr>
      </w:pPr>
    </w:p>
    <w:p w14:paraId="5AA23E43">
      <w:pPr>
        <w:pStyle w:val="10"/>
        <w:spacing w:before="9"/>
        <w:ind w:firstLine="399"/>
        <w:rPr>
          <w:b/>
          <w:sz w:val="23"/>
          <w:highlight w:val="none"/>
        </w:rPr>
      </w:pPr>
    </w:p>
    <w:p w14:paraId="5AEA8131">
      <w:pPr>
        <w:pStyle w:val="10"/>
        <w:spacing w:before="67"/>
        <w:ind w:firstLine="420" w:firstLineChars="200"/>
        <w:rPr>
          <w:highlight w:val="none"/>
        </w:rPr>
      </w:pPr>
      <w:r>
        <w:rPr>
          <w:highlight w:val="none"/>
        </w:rPr>
        <w:t>致（</w:t>
      </w:r>
      <w:r>
        <w:rPr>
          <w:highlight w:val="none"/>
          <w:u w:val="single"/>
        </w:rPr>
        <w:t>采购人及采购代理机构</w:t>
      </w:r>
      <w:r>
        <w:rPr>
          <w:highlight w:val="none"/>
        </w:rPr>
        <w:t xml:space="preserve">） ： </w:t>
      </w:r>
    </w:p>
    <w:p w14:paraId="638E5EB3">
      <w:pPr>
        <w:pStyle w:val="10"/>
        <w:tabs>
          <w:tab w:val="left" w:pos="6358"/>
        </w:tabs>
        <w:spacing w:before="160"/>
        <w:ind w:left="223" w:firstLine="420" w:firstLineChars="200"/>
        <w:rPr>
          <w:highlight w:val="none"/>
        </w:rPr>
      </w:pPr>
      <w:r>
        <w:rPr>
          <w:highlight w:val="none"/>
        </w:rPr>
        <w:t>我们在贵公司组织</w:t>
      </w:r>
      <w:r>
        <w:rPr>
          <w:rFonts w:hint="eastAsia"/>
          <w:highlight w:val="none"/>
        </w:rPr>
        <w:t>的</w:t>
      </w:r>
      <w:r>
        <w:rPr>
          <w:highlight w:val="none"/>
        </w:rPr>
        <w:t>项目名称：</w:t>
      </w:r>
      <w:r>
        <w:rPr>
          <w:highlight w:val="none"/>
          <w:u w:val="single"/>
        </w:rPr>
        <w:tab/>
      </w:r>
      <w:r>
        <w:rPr>
          <w:highlight w:val="none"/>
        </w:rPr>
        <w:t>采 购 编 号 ：</w:t>
      </w:r>
      <w:r>
        <w:rPr>
          <w:spacing w:val="-5"/>
          <w:highlight w:val="none"/>
        </w:rPr>
        <w:t xml:space="preserve">磋商中若获成交，我们保证在成交公告发布后 </w:t>
      </w:r>
      <w:r>
        <w:rPr>
          <w:highlight w:val="none"/>
        </w:rPr>
        <w:t>5</w:t>
      </w:r>
      <w:r>
        <w:rPr>
          <w:spacing w:val="-6"/>
          <w:highlight w:val="none"/>
        </w:rPr>
        <w:t xml:space="preserve"> 个工作日内，按磋商文件的规定，以银行转账向贵公司一次性支付招标代理服务费用。否则，由此产生的一切法律后果和责任由我公司</w:t>
      </w:r>
      <w:r>
        <w:rPr>
          <w:spacing w:val="-4"/>
          <w:highlight w:val="none"/>
        </w:rPr>
        <w:t>承担。我公司声明放弃对此提出任何异议和追索的权利。</w:t>
      </w:r>
    </w:p>
    <w:p w14:paraId="4657D27F">
      <w:pPr>
        <w:pStyle w:val="10"/>
        <w:spacing w:line="307" w:lineRule="exact"/>
        <w:ind w:left="223" w:firstLine="420" w:firstLineChars="200"/>
        <w:rPr>
          <w:highlight w:val="none"/>
        </w:rPr>
      </w:pPr>
      <w:r>
        <w:rPr>
          <w:highlight w:val="none"/>
        </w:rPr>
        <w:t xml:space="preserve">特此承诺。 </w:t>
      </w:r>
    </w:p>
    <w:p w14:paraId="43C65804">
      <w:pPr>
        <w:pStyle w:val="10"/>
        <w:ind w:firstLine="346"/>
        <w:rPr>
          <w:sz w:val="20"/>
          <w:highlight w:val="none"/>
        </w:rPr>
      </w:pPr>
    </w:p>
    <w:p w14:paraId="4563ABBD">
      <w:pPr>
        <w:pStyle w:val="10"/>
        <w:ind w:firstLine="346"/>
        <w:rPr>
          <w:sz w:val="20"/>
          <w:highlight w:val="none"/>
        </w:rPr>
      </w:pPr>
    </w:p>
    <w:p w14:paraId="2342EC53">
      <w:pPr>
        <w:pStyle w:val="10"/>
        <w:ind w:firstLine="346"/>
        <w:rPr>
          <w:sz w:val="20"/>
          <w:highlight w:val="none"/>
        </w:rPr>
      </w:pPr>
    </w:p>
    <w:p w14:paraId="07BE71D9">
      <w:pPr>
        <w:pStyle w:val="10"/>
        <w:spacing w:before="4"/>
        <w:ind w:firstLine="346"/>
        <w:rPr>
          <w:sz w:val="20"/>
          <w:highlight w:val="none"/>
        </w:rPr>
      </w:pPr>
    </w:p>
    <w:p w14:paraId="64FF5BAF">
      <w:pPr>
        <w:pStyle w:val="10"/>
        <w:tabs>
          <w:tab w:val="left" w:pos="5921"/>
        </w:tabs>
        <w:spacing w:before="66"/>
        <w:ind w:left="223" w:firstLine="363"/>
        <w:rPr>
          <w:highlight w:val="none"/>
        </w:rPr>
      </w:pPr>
      <w:r>
        <w:rPr>
          <w:highlight w:val="none"/>
        </w:rPr>
        <w:t>供应商名称：</w:t>
      </w:r>
      <w:r>
        <w:rPr>
          <w:highlight w:val="none"/>
          <w:u w:val="single"/>
        </w:rPr>
        <w:tab/>
      </w:r>
      <w:r>
        <w:rPr>
          <w:highlight w:val="none"/>
        </w:rPr>
        <w:t xml:space="preserve">（盖章） </w:t>
      </w:r>
    </w:p>
    <w:p w14:paraId="65CD8263">
      <w:pPr>
        <w:pStyle w:val="10"/>
        <w:tabs>
          <w:tab w:val="right" w:pos="6281"/>
          <w:tab w:val="left" w:pos="7181"/>
          <w:tab w:val="left" w:pos="9240"/>
          <w:tab w:val="left" w:pos="9460"/>
        </w:tabs>
        <w:spacing w:before="158" w:line="364" w:lineRule="auto"/>
        <w:ind w:left="223" w:right="-20" w:firstLine="363"/>
        <w:rPr>
          <w:spacing w:val="-20"/>
          <w:highlight w:val="none"/>
        </w:rPr>
      </w:pPr>
      <w:r>
        <w:rPr>
          <w:highlight w:val="none"/>
        </w:rPr>
        <w:t>法定代表人或授权代表：</w:t>
      </w:r>
      <w:r>
        <w:rPr>
          <w:highlight w:val="none"/>
          <w:u w:val="single"/>
        </w:rPr>
        <w:tab/>
      </w:r>
      <w:r>
        <w:rPr>
          <w:highlight w:val="none"/>
          <w:u w:val="single"/>
        </w:rPr>
        <w:tab/>
      </w:r>
      <w:r>
        <w:rPr>
          <w:highlight w:val="none"/>
        </w:rPr>
        <w:t>（签字或盖章</w:t>
      </w:r>
      <w:r>
        <w:rPr>
          <w:spacing w:val="-20"/>
          <w:highlight w:val="none"/>
        </w:rPr>
        <w:t>）</w:t>
      </w:r>
    </w:p>
    <w:p w14:paraId="4D8E3F6B">
      <w:pPr>
        <w:pStyle w:val="10"/>
        <w:tabs>
          <w:tab w:val="left" w:pos="6281"/>
          <w:tab w:val="left" w:pos="7181"/>
          <w:tab w:val="left" w:pos="9450"/>
          <w:tab w:val="left" w:pos="9660"/>
          <w:tab w:val="left" w:pos="9880"/>
        </w:tabs>
        <w:spacing w:before="158" w:line="364" w:lineRule="auto"/>
        <w:ind w:left="223" w:right="200" w:firstLine="294"/>
        <w:rPr>
          <w:highlight w:val="none"/>
        </w:rPr>
      </w:pPr>
      <w:r>
        <w:rPr>
          <w:highlight w:val="none"/>
        </w:rPr>
        <w:t>日期：</w:t>
      </w:r>
      <w:r>
        <w:rPr>
          <w:highlight w:val="none"/>
          <w:u w:val="single"/>
        </w:rPr>
        <w:tab/>
      </w:r>
    </w:p>
    <w:p w14:paraId="71088C41">
      <w:pPr>
        <w:pStyle w:val="3"/>
        <w:tabs>
          <w:tab w:val="left" w:pos="3021"/>
        </w:tabs>
        <w:spacing w:before="0" w:line="408" w:lineRule="exact"/>
        <w:ind w:left="141"/>
        <w:jc w:val="left"/>
        <w:rPr>
          <w:highlight w:val="none"/>
        </w:rPr>
      </w:pPr>
      <w:r>
        <w:rPr>
          <w:highlight w:val="none"/>
        </w:rPr>
        <w:tab/>
      </w:r>
    </w:p>
    <w:p w14:paraId="6B38C733">
      <w:pPr>
        <w:spacing w:line="408" w:lineRule="exact"/>
        <w:jc w:val="left"/>
        <w:rPr>
          <w:highlight w:val="none"/>
        </w:rPr>
        <w:sectPr>
          <w:pgSz w:w="11920" w:h="16850"/>
          <w:pgMar w:top="1420" w:right="1220" w:bottom="1240" w:left="1260" w:header="0" w:footer="1043" w:gutter="0"/>
          <w:cols w:space="720" w:num="1"/>
        </w:sectPr>
      </w:pPr>
    </w:p>
    <w:p w14:paraId="2A34F36F">
      <w:pPr>
        <w:spacing w:before="40"/>
        <w:ind w:left="667" w:right="884"/>
        <w:jc w:val="center"/>
        <w:rPr>
          <w:sz w:val="24"/>
          <w:highlight w:val="none"/>
        </w:rPr>
      </w:pPr>
      <w:bookmarkStart w:id="625" w:name="四、技术方案"/>
      <w:bookmarkEnd w:id="625"/>
      <w:bookmarkStart w:id="626" w:name="_bookmark9"/>
      <w:bookmarkEnd w:id="626"/>
      <w:r>
        <w:rPr>
          <w:b/>
          <w:sz w:val="32"/>
          <w:highlight w:val="none"/>
        </w:rPr>
        <w:t>四、技术</w:t>
      </w:r>
      <w:r>
        <w:rPr>
          <w:rFonts w:hint="eastAsia"/>
          <w:b/>
          <w:sz w:val="32"/>
          <w:highlight w:val="none"/>
        </w:rPr>
        <w:t>部分</w:t>
      </w:r>
    </w:p>
    <w:p w14:paraId="7AEC27A1">
      <w:pPr>
        <w:pStyle w:val="6"/>
        <w:rPr>
          <w:color w:val="auto"/>
          <w:highlight w:val="none"/>
        </w:rPr>
      </w:pPr>
      <w:r>
        <w:rPr>
          <w:color w:val="auto"/>
          <w:highlight w:val="none"/>
        </w:rPr>
        <w:t>（格式自拟）</w:t>
      </w:r>
    </w:p>
    <w:p w14:paraId="394555BB">
      <w:pPr>
        <w:jc w:val="center"/>
        <w:rPr>
          <w:highlight w:val="none"/>
        </w:rPr>
      </w:pPr>
    </w:p>
    <w:p w14:paraId="485E833D">
      <w:pPr>
        <w:jc w:val="center"/>
        <w:rPr>
          <w:highlight w:val="none"/>
        </w:rPr>
        <w:sectPr>
          <w:pgSz w:w="11920" w:h="16850"/>
          <w:pgMar w:top="1420" w:right="800" w:bottom="1240" w:left="1260" w:header="0" w:footer="1043" w:gutter="0"/>
          <w:cols w:space="720" w:num="1"/>
        </w:sectPr>
      </w:pPr>
      <w:r>
        <w:rPr>
          <w:rFonts w:hint="eastAsia" w:ascii="宋体" w:hAnsi="宋体" w:cs="宋体"/>
          <w:highlight w:val="none"/>
        </w:rPr>
        <w:t>依据“第五章磋商程序、评审方法及评审标准”要求编制，提供招标文件要求的技术方案等内容，格式自拟。</w:t>
      </w:r>
    </w:p>
    <w:p w14:paraId="64A25A22">
      <w:pPr>
        <w:spacing w:before="40"/>
        <w:ind w:left="667" w:right="884"/>
        <w:jc w:val="center"/>
        <w:rPr>
          <w:sz w:val="24"/>
          <w:highlight w:val="none"/>
        </w:rPr>
      </w:pPr>
      <w:bookmarkStart w:id="627" w:name="五、资格审查资料"/>
      <w:bookmarkEnd w:id="627"/>
      <w:bookmarkStart w:id="628" w:name="_bookmark10"/>
      <w:bookmarkEnd w:id="628"/>
      <w:r>
        <w:rPr>
          <w:rFonts w:hint="eastAsia"/>
          <w:b/>
          <w:sz w:val="32"/>
          <w:highlight w:val="none"/>
        </w:rPr>
        <w:t>五</w:t>
      </w:r>
      <w:r>
        <w:rPr>
          <w:b/>
          <w:sz w:val="32"/>
          <w:highlight w:val="none"/>
        </w:rPr>
        <w:t>、</w:t>
      </w:r>
      <w:r>
        <w:rPr>
          <w:rFonts w:hint="eastAsia"/>
          <w:b/>
          <w:sz w:val="32"/>
          <w:highlight w:val="none"/>
        </w:rPr>
        <w:t>商务部分</w:t>
      </w:r>
    </w:p>
    <w:p w14:paraId="24CCD8A7">
      <w:pPr>
        <w:pStyle w:val="6"/>
        <w:rPr>
          <w:color w:val="auto"/>
          <w:highlight w:val="none"/>
        </w:rPr>
      </w:pPr>
      <w:r>
        <w:rPr>
          <w:color w:val="auto"/>
          <w:highlight w:val="none"/>
        </w:rPr>
        <w:t>（格式自拟）</w:t>
      </w:r>
    </w:p>
    <w:p w14:paraId="72717779">
      <w:pPr>
        <w:jc w:val="center"/>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依据“第五章磋商程序、评审方法及评审标准”要求编制，提供招标文件要求的</w:t>
      </w:r>
      <w:r>
        <w:rPr>
          <w:rFonts w:hint="eastAsia" w:ascii="宋体" w:hAnsi="宋体" w:cs="宋体"/>
          <w:highlight w:val="none"/>
          <w:lang w:eastAsia="zh-CN"/>
        </w:rPr>
        <w:t>相关</w:t>
      </w:r>
      <w:r>
        <w:rPr>
          <w:rFonts w:hint="eastAsia" w:ascii="宋体" w:hAnsi="宋体" w:cs="宋体"/>
          <w:highlight w:val="none"/>
        </w:rPr>
        <w:t>内容，格式自拟。</w:t>
      </w:r>
    </w:p>
    <w:p w14:paraId="2A9EEB68">
      <w:pPr>
        <w:pStyle w:val="43"/>
        <w:rPr>
          <w:rFonts w:hint="default" w:eastAsia="宋体"/>
          <w:highlight w:val="none"/>
          <w:lang w:val="en-US" w:eastAsia="zh-CN"/>
        </w:rPr>
      </w:pPr>
      <w:r>
        <w:rPr>
          <w:rFonts w:hint="eastAsia" w:hAnsi="宋体" w:cs="宋体"/>
          <w:highlight w:val="none"/>
          <w:lang w:val="en-US" w:eastAsia="zh-CN"/>
        </w:rPr>
        <w:t xml:space="preserve">  </w:t>
      </w:r>
    </w:p>
    <w:p w14:paraId="127CBBFF">
      <w:pPr>
        <w:pStyle w:val="43"/>
        <w:rPr>
          <w:highlight w:val="none"/>
        </w:rPr>
      </w:pPr>
    </w:p>
    <w:p w14:paraId="07BBF20F">
      <w:pPr>
        <w:rPr>
          <w:highlight w:val="none"/>
        </w:rPr>
      </w:pPr>
    </w:p>
    <w:p w14:paraId="1E54E803">
      <w:pPr>
        <w:pStyle w:val="43"/>
        <w:rPr>
          <w:highlight w:val="none"/>
        </w:rPr>
      </w:pPr>
    </w:p>
    <w:p w14:paraId="34784029">
      <w:pPr>
        <w:numPr>
          <w:ilvl w:val="0"/>
          <w:numId w:val="26"/>
        </w:numPr>
        <w:rPr>
          <w:rFonts w:hint="eastAsia"/>
          <w:highlight w:val="none"/>
          <w:lang w:val="en-US" w:eastAsia="zh-CN"/>
        </w:rPr>
      </w:pPr>
      <w:r>
        <w:rPr>
          <w:rFonts w:hint="eastAsia"/>
          <w:highlight w:val="none"/>
          <w:lang w:val="en-US" w:eastAsia="zh-CN"/>
        </w:rPr>
        <w:t>拟派项目人员名单</w:t>
      </w:r>
    </w:p>
    <w:p w14:paraId="2ECC5424">
      <w:pPr>
        <w:pStyle w:val="43"/>
        <w:numPr>
          <w:ilvl w:val="0"/>
          <w:numId w:val="0"/>
        </w:numPr>
        <w:rPr>
          <w:rFonts w:hint="eastAsia"/>
          <w:highlight w:val="none"/>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86"/>
        <w:gridCol w:w="1550"/>
        <w:gridCol w:w="1934"/>
        <w:gridCol w:w="2445"/>
        <w:gridCol w:w="1656"/>
      </w:tblGrid>
      <w:tr w14:paraId="6BF9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17F36F83">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序号</w:t>
            </w:r>
          </w:p>
        </w:tc>
        <w:tc>
          <w:tcPr>
            <w:tcW w:w="1486" w:type="dxa"/>
            <w:vAlign w:val="center"/>
          </w:tcPr>
          <w:p w14:paraId="6607F16C">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岗位</w:t>
            </w:r>
          </w:p>
        </w:tc>
        <w:tc>
          <w:tcPr>
            <w:tcW w:w="1550" w:type="dxa"/>
            <w:vAlign w:val="center"/>
          </w:tcPr>
          <w:p w14:paraId="4A8C6976">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姓名</w:t>
            </w:r>
          </w:p>
        </w:tc>
        <w:tc>
          <w:tcPr>
            <w:tcW w:w="1934" w:type="dxa"/>
            <w:vAlign w:val="center"/>
          </w:tcPr>
          <w:p w14:paraId="4B378035">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身份证号</w:t>
            </w:r>
          </w:p>
        </w:tc>
        <w:tc>
          <w:tcPr>
            <w:tcW w:w="2445" w:type="dxa"/>
            <w:vAlign w:val="center"/>
          </w:tcPr>
          <w:p w14:paraId="0F1F4E0D">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健康证编号</w:t>
            </w:r>
          </w:p>
        </w:tc>
        <w:tc>
          <w:tcPr>
            <w:tcW w:w="1656" w:type="dxa"/>
            <w:vAlign w:val="center"/>
          </w:tcPr>
          <w:p w14:paraId="2F436758">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备注</w:t>
            </w:r>
          </w:p>
        </w:tc>
      </w:tr>
      <w:tr w14:paraId="3B7D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700A665E">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1</w:t>
            </w:r>
          </w:p>
        </w:tc>
        <w:tc>
          <w:tcPr>
            <w:tcW w:w="1486" w:type="dxa"/>
            <w:vAlign w:val="center"/>
          </w:tcPr>
          <w:p w14:paraId="4D7FFD2B">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项目负责人</w:t>
            </w:r>
          </w:p>
        </w:tc>
        <w:tc>
          <w:tcPr>
            <w:tcW w:w="1550" w:type="dxa"/>
            <w:vAlign w:val="center"/>
          </w:tcPr>
          <w:p w14:paraId="72EB48F9">
            <w:pPr>
              <w:pStyle w:val="43"/>
              <w:numPr>
                <w:ilvl w:val="0"/>
                <w:numId w:val="0"/>
              </w:numPr>
              <w:jc w:val="center"/>
              <w:rPr>
                <w:rFonts w:hint="eastAsia"/>
                <w:highlight w:val="none"/>
                <w:vertAlign w:val="baseline"/>
                <w:lang w:val="en-US" w:eastAsia="zh-CN"/>
              </w:rPr>
            </w:pPr>
          </w:p>
        </w:tc>
        <w:tc>
          <w:tcPr>
            <w:tcW w:w="1934" w:type="dxa"/>
            <w:vAlign w:val="center"/>
          </w:tcPr>
          <w:p w14:paraId="30E2F5AF">
            <w:pPr>
              <w:pStyle w:val="43"/>
              <w:numPr>
                <w:ilvl w:val="0"/>
                <w:numId w:val="0"/>
              </w:numPr>
              <w:jc w:val="center"/>
              <w:rPr>
                <w:rFonts w:hint="eastAsia"/>
                <w:highlight w:val="none"/>
                <w:vertAlign w:val="baseline"/>
                <w:lang w:val="en-US" w:eastAsia="zh-CN"/>
              </w:rPr>
            </w:pPr>
          </w:p>
        </w:tc>
        <w:tc>
          <w:tcPr>
            <w:tcW w:w="2445" w:type="dxa"/>
            <w:vAlign w:val="center"/>
          </w:tcPr>
          <w:p w14:paraId="5D7D9894">
            <w:pPr>
              <w:pStyle w:val="43"/>
              <w:numPr>
                <w:ilvl w:val="0"/>
                <w:numId w:val="0"/>
              </w:numPr>
              <w:jc w:val="center"/>
              <w:rPr>
                <w:rFonts w:hint="eastAsia"/>
                <w:highlight w:val="none"/>
                <w:vertAlign w:val="baseline"/>
                <w:lang w:val="en-US" w:eastAsia="zh-CN"/>
              </w:rPr>
            </w:pPr>
          </w:p>
        </w:tc>
        <w:tc>
          <w:tcPr>
            <w:tcW w:w="1656" w:type="dxa"/>
            <w:vAlign w:val="center"/>
          </w:tcPr>
          <w:p w14:paraId="01EC6CE8">
            <w:pPr>
              <w:pStyle w:val="43"/>
              <w:numPr>
                <w:ilvl w:val="0"/>
                <w:numId w:val="0"/>
              </w:numPr>
              <w:jc w:val="center"/>
              <w:rPr>
                <w:rFonts w:hint="eastAsia"/>
                <w:highlight w:val="none"/>
                <w:vertAlign w:val="baseline"/>
                <w:lang w:val="en-US" w:eastAsia="zh-CN"/>
              </w:rPr>
            </w:pPr>
          </w:p>
        </w:tc>
      </w:tr>
      <w:tr w14:paraId="199A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0782D6F2">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2</w:t>
            </w:r>
          </w:p>
        </w:tc>
        <w:tc>
          <w:tcPr>
            <w:tcW w:w="1486" w:type="dxa"/>
            <w:vAlign w:val="center"/>
          </w:tcPr>
          <w:p w14:paraId="7EB3A854">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厨师长</w:t>
            </w:r>
          </w:p>
        </w:tc>
        <w:tc>
          <w:tcPr>
            <w:tcW w:w="1550" w:type="dxa"/>
            <w:vAlign w:val="center"/>
          </w:tcPr>
          <w:p w14:paraId="5FA82D4F">
            <w:pPr>
              <w:pStyle w:val="43"/>
              <w:numPr>
                <w:ilvl w:val="0"/>
                <w:numId w:val="0"/>
              </w:numPr>
              <w:jc w:val="center"/>
              <w:rPr>
                <w:rFonts w:hint="eastAsia"/>
                <w:highlight w:val="none"/>
                <w:vertAlign w:val="baseline"/>
                <w:lang w:val="en-US" w:eastAsia="zh-CN"/>
              </w:rPr>
            </w:pPr>
          </w:p>
        </w:tc>
        <w:tc>
          <w:tcPr>
            <w:tcW w:w="1934" w:type="dxa"/>
            <w:vAlign w:val="center"/>
          </w:tcPr>
          <w:p w14:paraId="1F8DE520">
            <w:pPr>
              <w:pStyle w:val="43"/>
              <w:numPr>
                <w:ilvl w:val="0"/>
                <w:numId w:val="0"/>
              </w:numPr>
              <w:jc w:val="center"/>
              <w:rPr>
                <w:rFonts w:hint="eastAsia"/>
                <w:highlight w:val="none"/>
                <w:vertAlign w:val="baseline"/>
                <w:lang w:val="en-US" w:eastAsia="zh-CN"/>
              </w:rPr>
            </w:pPr>
          </w:p>
        </w:tc>
        <w:tc>
          <w:tcPr>
            <w:tcW w:w="2445" w:type="dxa"/>
            <w:vAlign w:val="center"/>
          </w:tcPr>
          <w:p w14:paraId="33DEAAD0">
            <w:pPr>
              <w:pStyle w:val="43"/>
              <w:numPr>
                <w:ilvl w:val="0"/>
                <w:numId w:val="0"/>
              </w:numPr>
              <w:jc w:val="center"/>
              <w:rPr>
                <w:rFonts w:hint="eastAsia"/>
                <w:highlight w:val="none"/>
                <w:vertAlign w:val="baseline"/>
                <w:lang w:val="en-US" w:eastAsia="zh-CN"/>
              </w:rPr>
            </w:pPr>
          </w:p>
        </w:tc>
        <w:tc>
          <w:tcPr>
            <w:tcW w:w="1656" w:type="dxa"/>
            <w:vAlign w:val="center"/>
          </w:tcPr>
          <w:p w14:paraId="4ABC3ABD">
            <w:pPr>
              <w:pStyle w:val="43"/>
              <w:numPr>
                <w:ilvl w:val="0"/>
                <w:numId w:val="0"/>
              </w:numPr>
              <w:jc w:val="center"/>
              <w:rPr>
                <w:rFonts w:hint="eastAsia"/>
                <w:highlight w:val="none"/>
                <w:vertAlign w:val="baseline"/>
                <w:lang w:val="en-US" w:eastAsia="zh-CN"/>
              </w:rPr>
            </w:pPr>
          </w:p>
        </w:tc>
      </w:tr>
      <w:tr w14:paraId="40AF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44786005">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3</w:t>
            </w:r>
          </w:p>
        </w:tc>
        <w:tc>
          <w:tcPr>
            <w:tcW w:w="1486" w:type="dxa"/>
            <w:vAlign w:val="center"/>
          </w:tcPr>
          <w:p w14:paraId="0EA38FE8">
            <w:pPr>
              <w:pStyle w:val="43"/>
              <w:numPr>
                <w:ilvl w:val="0"/>
                <w:numId w:val="0"/>
              </w:numPr>
              <w:jc w:val="center"/>
              <w:rPr>
                <w:rFonts w:hint="eastAsia"/>
                <w:highlight w:val="none"/>
                <w:vertAlign w:val="baseline"/>
                <w:lang w:val="en-US" w:eastAsia="zh-CN"/>
              </w:rPr>
            </w:pPr>
            <w:r>
              <w:rPr>
                <w:rFonts w:hint="eastAsia"/>
                <w:highlight w:val="none"/>
                <w:vertAlign w:val="baseline"/>
                <w:lang w:val="en-US" w:eastAsia="zh-CN"/>
              </w:rPr>
              <w:t>厨师</w:t>
            </w:r>
          </w:p>
        </w:tc>
        <w:tc>
          <w:tcPr>
            <w:tcW w:w="1550" w:type="dxa"/>
            <w:vAlign w:val="center"/>
          </w:tcPr>
          <w:p w14:paraId="4A1026F8">
            <w:pPr>
              <w:pStyle w:val="43"/>
              <w:numPr>
                <w:ilvl w:val="0"/>
                <w:numId w:val="0"/>
              </w:numPr>
              <w:jc w:val="center"/>
              <w:rPr>
                <w:rFonts w:hint="eastAsia"/>
                <w:highlight w:val="none"/>
                <w:vertAlign w:val="baseline"/>
                <w:lang w:val="en-US" w:eastAsia="zh-CN"/>
              </w:rPr>
            </w:pPr>
          </w:p>
        </w:tc>
        <w:tc>
          <w:tcPr>
            <w:tcW w:w="1934" w:type="dxa"/>
            <w:vAlign w:val="center"/>
          </w:tcPr>
          <w:p w14:paraId="446FD86F">
            <w:pPr>
              <w:pStyle w:val="43"/>
              <w:numPr>
                <w:ilvl w:val="0"/>
                <w:numId w:val="0"/>
              </w:numPr>
              <w:jc w:val="center"/>
              <w:rPr>
                <w:rFonts w:hint="eastAsia"/>
                <w:highlight w:val="none"/>
                <w:vertAlign w:val="baseline"/>
                <w:lang w:val="en-US" w:eastAsia="zh-CN"/>
              </w:rPr>
            </w:pPr>
          </w:p>
        </w:tc>
        <w:tc>
          <w:tcPr>
            <w:tcW w:w="2445" w:type="dxa"/>
            <w:vAlign w:val="center"/>
          </w:tcPr>
          <w:p w14:paraId="31630FF5">
            <w:pPr>
              <w:pStyle w:val="43"/>
              <w:numPr>
                <w:ilvl w:val="0"/>
                <w:numId w:val="0"/>
              </w:numPr>
              <w:jc w:val="center"/>
              <w:rPr>
                <w:rFonts w:hint="eastAsia"/>
                <w:highlight w:val="none"/>
                <w:vertAlign w:val="baseline"/>
                <w:lang w:val="en-US" w:eastAsia="zh-CN"/>
              </w:rPr>
            </w:pPr>
          </w:p>
        </w:tc>
        <w:tc>
          <w:tcPr>
            <w:tcW w:w="1656" w:type="dxa"/>
            <w:vAlign w:val="center"/>
          </w:tcPr>
          <w:p w14:paraId="64514A99">
            <w:pPr>
              <w:pStyle w:val="43"/>
              <w:numPr>
                <w:ilvl w:val="0"/>
                <w:numId w:val="0"/>
              </w:numPr>
              <w:jc w:val="center"/>
              <w:rPr>
                <w:rFonts w:hint="eastAsia"/>
                <w:highlight w:val="none"/>
                <w:vertAlign w:val="baseline"/>
                <w:lang w:val="en-US" w:eastAsia="zh-CN"/>
              </w:rPr>
            </w:pPr>
          </w:p>
        </w:tc>
      </w:tr>
      <w:tr w14:paraId="2902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24BEBEA4">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4</w:t>
            </w:r>
          </w:p>
        </w:tc>
        <w:tc>
          <w:tcPr>
            <w:tcW w:w="1486" w:type="dxa"/>
            <w:vAlign w:val="center"/>
          </w:tcPr>
          <w:p w14:paraId="046A0581">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w:t>
            </w:r>
          </w:p>
        </w:tc>
        <w:tc>
          <w:tcPr>
            <w:tcW w:w="1550" w:type="dxa"/>
            <w:vAlign w:val="center"/>
          </w:tcPr>
          <w:p w14:paraId="06A7E9DF">
            <w:pPr>
              <w:pStyle w:val="43"/>
              <w:numPr>
                <w:ilvl w:val="0"/>
                <w:numId w:val="0"/>
              </w:numPr>
              <w:jc w:val="center"/>
              <w:rPr>
                <w:rFonts w:hint="eastAsia"/>
                <w:highlight w:val="none"/>
                <w:vertAlign w:val="baseline"/>
                <w:lang w:val="en-US" w:eastAsia="zh-CN"/>
              </w:rPr>
            </w:pPr>
          </w:p>
        </w:tc>
        <w:tc>
          <w:tcPr>
            <w:tcW w:w="1934" w:type="dxa"/>
            <w:vAlign w:val="center"/>
          </w:tcPr>
          <w:p w14:paraId="65333506">
            <w:pPr>
              <w:pStyle w:val="43"/>
              <w:numPr>
                <w:ilvl w:val="0"/>
                <w:numId w:val="0"/>
              </w:numPr>
              <w:jc w:val="center"/>
              <w:rPr>
                <w:rFonts w:hint="eastAsia"/>
                <w:highlight w:val="none"/>
                <w:vertAlign w:val="baseline"/>
                <w:lang w:val="en-US" w:eastAsia="zh-CN"/>
              </w:rPr>
            </w:pPr>
          </w:p>
        </w:tc>
        <w:tc>
          <w:tcPr>
            <w:tcW w:w="2445" w:type="dxa"/>
            <w:vAlign w:val="center"/>
          </w:tcPr>
          <w:p w14:paraId="730BD601">
            <w:pPr>
              <w:pStyle w:val="43"/>
              <w:numPr>
                <w:ilvl w:val="0"/>
                <w:numId w:val="0"/>
              </w:numPr>
              <w:jc w:val="center"/>
              <w:rPr>
                <w:rFonts w:hint="eastAsia"/>
                <w:highlight w:val="none"/>
                <w:vertAlign w:val="baseline"/>
                <w:lang w:val="en-US" w:eastAsia="zh-CN"/>
              </w:rPr>
            </w:pPr>
          </w:p>
        </w:tc>
        <w:tc>
          <w:tcPr>
            <w:tcW w:w="1656" w:type="dxa"/>
            <w:vAlign w:val="center"/>
          </w:tcPr>
          <w:p w14:paraId="515B5EFC">
            <w:pPr>
              <w:pStyle w:val="43"/>
              <w:numPr>
                <w:ilvl w:val="0"/>
                <w:numId w:val="0"/>
              </w:numPr>
              <w:jc w:val="center"/>
              <w:rPr>
                <w:rFonts w:hint="eastAsia"/>
                <w:highlight w:val="none"/>
                <w:vertAlign w:val="baseline"/>
                <w:lang w:val="en-US" w:eastAsia="zh-CN"/>
              </w:rPr>
            </w:pPr>
          </w:p>
        </w:tc>
      </w:tr>
      <w:tr w14:paraId="731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5" w:type="dxa"/>
            <w:vAlign w:val="center"/>
          </w:tcPr>
          <w:p w14:paraId="4A05DB15">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5</w:t>
            </w:r>
          </w:p>
        </w:tc>
        <w:tc>
          <w:tcPr>
            <w:tcW w:w="1486" w:type="dxa"/>
            <w:vAlign w:val="center"/>
          </w:tcPr>
          <w:p w14:paraId="05B18053">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w:t>
            </w:r>
          </w:p>
        </w:tc>
        <w:tc>
          <w:tcPr>
            <w:tcW w:w="1550" w:type="dxa"/>
            <w:vAlign w:val="center"/>
          </w:tcPr>
          <w:p w14:paraId="05460924">
            <w:pPr>
              <w:pStyle w:val="43"/>
              <w:numPr>
                <w:ilvl w:val="0"/>
                <w:numId w:val="0"/>
              </w:numPr>
              <w:jc w:val="center"/>
              <w:rPr>
                <w:rFonts w:hint="eastAsia"/>
                <w:highlight w:val="none"/>
                <w:vertAlign w:val="baseline"/>
                <w:lang w:val="en-US" w:eastAsia="zh-CN"/>
              </w:rPr>
            </w:pPr>
          </w:p>
        </w:tc>
        <w:tc>
          <w:tcPr>
            <w:tcW w:w="1934" w:type="dxa"/>
            <w:vAlign w:val="center"/>
          </w:tcPr>
          <w:p w14:paraId="4E91730F">
            <w:pPr>
              <w:pStyle w:val="43"/>
              <w:numPr>
                <w:ilvl w:val="0"/>
                <w:numId w:val="0"/>
              </w:numPr>
              <w:jc w:val="center"/>
              <w:rPr>
                <w:rFonts w:hint="eastAsia"/>
                <w:highlight w:val="none"/>
                <w:vertAlign w:val="baseline"/>
                <w:lang w:val="en-US" w:eastAsia="zh-CN"/>
              </w:rPr>
            </w:pPr>
          </w:p>
        </w:tc>
        <w:tc>
          <w:tcPr>
            <w:tcW w:w="2445" w:type="dxa"/>
            <w:vAlign w:val="center"/>
          </w:tcPr>
          <w:p w14:paraId="74766039">
            <w:pPr>
              <w:pStyle w:val="43"/>
              <w:numPr>
                <w:ilvl w:val="0"/>
                <w:numId w:val="0"/>
              </w:numPr>
              <w:jc w:val="center"/>
              <w:rPr>
                <w:rFonts w:hint="eastAsia"/>
                <w:highlight w:val="none"/>
                <w:vertAlign w:val="baseline"/>
                <w:lang w:val="en-US" w:eastAsia="zh-CN"/>
              </w:rPr>
            </w:pPr>
          </w:p>
        </w:tc>
        <w:tc>
          <w:tcPr>
            <w:tcW w:w="1656" w:type="dxa"/>
            <w:vAlign w:val="center"/>
          </w:tcPr>
          <w:p w14:paraId="0225FD1C">
            <w:pPr>
              <w:pStyle w:val="43"/>
              <w:numPr>
                <w:ilvl w:val="0"/>
                <w:numId w:val="0"/>
              </w:numPr>
              <w:jc w:val="center"/>
              <w:rPr>
                <w:rFonts w:hint="eastAsia"/>
                <w:highlight w:val="none"/>
                <w:vertAlign w:val="baseline"/>
                <w:lang w:val="en-US" w:eastAsia="zh-CN"/>
              </w:rPr>
            </w:pPr>
          </w:p>
        </w:tc>
      </w:tr>
      <w:tr w14:paraId="3E5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5" w:type="dxa"/>
            <w:vAlign w:val="center"/>
          </w:tcPr>
          <w:p w14:paraId="198BE86C">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w:t>
            </w:r>
          </w:p>
        </w:tc>
        <w:tc>
          <w:tcPr>
            <w:tcW w:w="1486" w:type="dxa"/>
            <w:vAlign w:val="center"/>
          </w:tcPr>
          <w:p w14:paraId="5326C080">
            <w:pPr>
              <w:pStyle w:val="43"/>
              <w:numPr>
                <w:ilvl w:val="0"/>
                <w:numId w:val="0"/>
              </w:numPr>
              <w:jc w:val="center"/>
              <w:rPr>
                <w:rFonts w:hint="default"/>
                <w:highlight w:val="none"/>
                <w:vertAlign w:val="baseline"/>
                <w:lang w:val="en-US" w:eastAsia="zh-CN"/>
              </w:rPr>
            </w:pPr>
            <w:r>
              <w:rPr>
                <w:rFonts w:hint="eastAsia"/>
                <w:highlight w:val="none"/>
                <w:vertAlign w:val="baseline"/>
                <w:lang w:val="en-US" w:eastAsia="zh-CN"/>
              </w:rPr>
              <w:t>...</w:t>
            </w:r>
          </w:p>
        </w:tc>
        <w:tc>
          <w:tcPr>
            <w:tcW w:w="1550" w:type="dxa"/>
            <w:vAlign w:val="center"/>
          </w:tcPr>
          <w:p w14:paraId="108056D3">
            <w:pPr>
              <w:pStyle w:val="43"/>
              <w:numPr>
                <w:ilvl w:val="0"/>
                <w:numId w:val="0"/>
              </w:numPr>
              <w:jc w:val="center"/>
              <w:rPr>
                <w:rFonts w:hint="eastAsia"/>
                <w:highlight w:val="none"/>
                <w:vertAlign w:val="baseline"/>
                <w:lang w:val="en-US" w:eastAsia="zh-CN"/>
              </w:rPr>
            </w:pPr>
          </w:p>
        </w:tc>
        <w:tc>
          <w:tcPr>
            <w:tcW w:w="1934" w:type="dxa"/>
            <w:vAlign w:val="center"/>
          </w:tcPr>
          <w:p w14:paraId="473851E5">
            <w:pPr>
              <w:pStyle w:val="43"/>
              <w:numPr>
                <w:ilvl w:val="0"/>
                <w:numId w:val="0"/>
              </w:numPr>
              <w:jc w:val="center"/>
              <w:rPr>
                <w:rFonts w:hint="eastAsia"/>
                <w:highlight w:val="none"/>
                <w:vertAlign w:val="baseline"/>
                <w:lang w:val="en-US" w:eastAsia="zh-CN"/>
              </w:rPr>
            </w:pPr>
          </w:p>
        </w:tc>
        <w:tc>
          <w:tcPr>
            <w:tcW w:w="2445" w:type="dxa"/>
            <w:vAlign w:val="center"/>
          </w:tcPr>
          <w:p w14:paraId="785C2284">
            <w:pPr>
              <w:pStyle w:val="43"/>
              <w:numPr>
                <w:ilvl w:val="0"/>
                <w:numId w:val="0"/>
              </w:numPr>
              <w:jc w:val="center"/>
              <w:rPr>
                <w:rFonts w:hint="eastAsia"/>
                <w:highlight w:val="none"/>
                <w:vertAlign w:val="baseline"/>
                <w:lang w:val="en-US" w:eastAsia="zh-CN"/>
              </w:rPr>
            </w:pPr>
          </w:p>
        </w:tc>
        <w:tc>
          <w:tcPr>
            <w:tcW w:w="1656" w:type="dxa"/>
            <w:vAlign w:val="center"/>
          </w:tcPr>
          <w:p w14:paraId="2EE7DC73">
            <w:pPr>
              <w:pStyle w:val="43"/>
              <w:numPr>
                <w:ilvl w:val="0"/>
                <w:numId w:val="0"/>
              </w:numPr>
              <w:jc w:val="center"/>
              <w:rPr>
                <w:rFonts w:hint="eastAsia"/>
                <w:highlight w:val="none"/>
                <w:vertAlign w:val="baseline"/>
                <w:lang w:val="en-US" w:eastAsia="zh-CN"/>
              </w:rPr>
            </w:pPr>
          </w:p>
        </w:tc>
      </w:tr>
    </w:tbl>
    <w:p w14:paraId="4B43BE5F">
      <w:pPr>
        <w:pStyle w:val="43"/>
        <w:numPr>
          <w:ilvl w:val="0"/>
          <w:numId w:val="0"/>
        </w:numPr>
        <w:rPr>
          <w:rFonts w:hint="eastAsia"/>
          <w:highlight w:val="none"/>
          <w:lang w:val="en-US" w:eastAsia="zh-CN"/>
        </w:rPr>
      </w:pPr>
    </w:p>
    <w:p w14:paraId="3090E533">
      <w:pPr>
        <w:pStyle w:val="43"/>
        <w:numPr>
          <w:ilvl w:val="0"/>
          <w:numId w:val="0"/>
        </w:numPr>
        <w:rPr>
          <w:rFonts w:hint="eastAsia"/>
          <w:highlight w:val="none"/>
          <w:lang w:val="en-US" w:eastAsia="zh-CN"/>
        </w:rPr>
      </w:pPr>
    </w:p>
    <w:p w14:paraId="4CEB7D2B">
      <w:pPr>
        <w:pStyle w:val="10"/>
        <w:tabs>
          <w:tab w:val="left" w:pos="5921"/>
        </w:tabs>
        <w:spacing w:before="66"/>
        <w:ind w:left="223" w:firstLine="363"/>
        <w:rPr>
          <w:highlight w:val="none"/>
        </w:rPr>
      </w:pPr>
      <w:r>
        <w:rPr>
          <w:highlight w:val="none"/>
        </w:rPr>
        <w:t>供应商名称：</w:t>
      </w:r>
      <w:r>
        <w:rPr>
          <w:highlight w:val="none"/>
          <w:u w:val="single"/>
        </w:rPr>
        <w:tab/>
      </w:r>
      <w:r>
        <w:rPr>
          <w:highlight w:val="none"/>
        </w:rPr>
        <w:t xml:space="preserve">（盖章） </w:t>
      </w:r>
    </w:p>
    <w:p w14:paraId="504FA498">
      <w:pPr>
        <w:pStyle w:val="10"/>
        <w:tabs>
          <w:tab w:val="right" w:pos="6281"/>
          <w:tab w:val="left" w:pos="7181"/>
          <w:tab w:val="left" w:pos="9240"/>
          <w:tab w:val="left" w:pos="9460"/>
        </w:tabs>
        <w:spacing w:before="158" w:line="364" w:lineRule="auto"/>
        <w:ind w:left="223" w:right="-20" w:firstLine="363"/>
        <w:rPr>
          <w:spacing w:val="-20"/>
          <w:highlight w:val="none"/>
        </w:rPr>
      </w:pPr>
      <w:r>
        <w:rPr>
          <w:highlight w:val="none"/>
        </w:rPr>
        <w:t>法定代表人或授权代表：</w:t>
      </w:r>
      <w:r>
        <w:rPr>
          <w:highlight w:val="none"/>
          <w:u w:val="single"/>
        </w:rPr>
        <w:tab/>
      </w:r>
      <w:r>
        <w:rPr>
          <w:highlight w:val="none"/>
          <w:u w:val="single"/>
        </w:rPr>
        <w:tab/>
      </w:r>
      <w:r>
        <w:rPr>
          <w:highlight w:val="none"/>
        </w:rPr>
        <w:t>（签字或盖章</w:t>
      </w:r>
      <w:r>
        <w:rPr>
          <w:spacing w:val="-20"/>
          <w:highlight w:val="none"/>
        </w:rPr>
        <w:t>）</w:t>
      </w:r>
    </w:p>
    <w:p w14:paraId="539B0383">
      <w:pPr>
        <w:pStyle w:val="43"/>
        <w:numPr>
          <w:ilvl w:val="0"/>
          <w:numId w:val="0"/>
        </w:numPr>
        <w:rPr>
          <w:rFonts w:hint="eastAsia"/>
          <w:highlight w:val="none"/>
          <w:lang w:val="en-US" w:eastAsia="zh-CN"/>
        </w:rPr>
        <w:sectPr>
          <w:pgSz w:w="11920" w:h="16850"/>
          <w:pgMar w:top="1420" w:right="800" w:bottom="1240" w:left="1040" w:header="0" w:footer="1043" w:gutter="0"/>
          <w:cols w:space="720" w:num="1"/>
        </w:sectPr>
      </w:pPr>
      <w:r>
        <w:rPr>
          <w:highlight w:val="none"/>
        </w:rPr>
        <w:t>日期：</w:t>
      </w:r>
      <w:r>
        <w:rPr>
          <w:highlight w:val="none"/>
          <w:u w:val="single"/>
        </w:rPr>
        <w:tab/>
      </w:r>
    </w:p>
    <w:p w14:paraId="6C5E1C7F">
      <w:pPr>
        <w:rPr>
          <w:b/>
          <w:sz w:val="32"/>
          <w:highlight w:val="none"/>
        </w:rPr>
      </w:pPr>
    </w:p>
    <w:p w14:paraId="27B4A771">
      <w:pPr>
        <w:spacing w:before="40"/>
        <w:ind w:left="707" w:right="884"/>
        <w:jc w:val="center"/>
        <w:rPr>
          <w:b/>
          <w:sz w:val="32"/>
          <w:highlight w:val="none"/>
        </w:rPr>
      </w:pPr>
      <w:r>
        <w:rPr>
          <w:rFonts w:hint="eastAsia"/>
          <w:b/>
          <w:sz w:val="32"/>
          <w:highlight w:val="none"/>
        </w:rPr>
        <w:t>六</w:t>
      </w:r>
      <w:r>
        <w:rPr>
          <w:b/>
          <w:sz w:val="32"/>
          <w:highlight w:val="none"/>
        </w:rPr>
        <w:t>、资格审查资料</w:t>
      </w:r>
    </w:p>
    <w:p w14:paraId="3B04D40A">
      <w:pPr>
        <w:spacing w:before="213"/>
        <w:ind w:left="667" w:right="884"/>
        <w:jc w:val="center"/>
        <w:rPr>
          <w:b/>
          <w:sz w:val="24"/>
          <w:highlight w:val="none"/>
        </w:rPr>
      </w:pPr>
      <w:r>
        <w:rPr>
          <w:b/>
          <w:sz w:val="24"/>
          <w:highlight w:val="none"/>
        </w:rPr>
        <w:t>（一）供应商基本情况表（以下格式为参考格式）</w:t>
      </w:r>
    </w:p>
    <w:p w14:paraId="4B2FDF1B">
      <w:pPr>
        <w:pStyle w:val="10"/>
        <w:ind w:firstLine="347"/>
        <w:rPr>
          <w:b/>
          <w:sz w:val="20"/>
          <w:highlight w:val="none"/>
        </w:rPr>
      </w:pPr>
    </w:p>
    <w:p w14:paraId="21B008A3">
      <w:pPr>
        <w:pStyle w:val="10"/>
        <w:spacing w:before="10" w:after="1"/>
        <w:ind w:firstLine="486"/>
        <w:rPr>
          <w:b/>
          <w:sz w:val="28"/>
          <w:highlight w:val="none"/>
        </w:rPr>
      </w:pPr>
    </w:p>
    <w:tbl>
      <w:tblPr>
        <w:tblStyle w:val="27"/>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1107"/>
        <w:gridCol w:w="2662"/>
        <w:gridCol w:w="1332"/>
        <w:gridCol w:w="2663"/>
      </w:tblGrid>
      <w:tr w14:paraId="0AE0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550" w:type="dxa"/>
          </w:tcPr>
          <w:p w14:paraId="2354DA70">
            <w:pPr>
              <w:pStyle w:val="46"/>
              <w:spacing w:before="4"/>
              <w:ind w:left="175"/>
              <w:rPr>
                <w:sz w:val="24"/>
                <w:highlight w:val="none"/>
              </w:rPr>
            </w:pPr>
            <w:r>
              <w:rPr>
                <w:sz w:val="24"/>
                <w:highlight w:val="none"/>
              </w:rPr>
              <w:t xml:space="preserve">供应商名称 </w:t>
            </w:r>
          </w:p>
        </w:tc>
        <w:tc>
          <w:tcPr>
            <w:tcW w:w="7764" w:type="dxa"/>
            <w:gridSpan w:val="4"/>
          </w:tcPr>
          <w:p w14:paraId="449FB396">
            <w:pPr>
              <w:pStyle w:val="46"/>
              <w:spacing w:before="4"/>
              <w:ind w:left="129"/>
              <w:jc w:val="center"/>
              <w:rPr>
                <w:sz w:val="24"/>
                <w:highlight w:val="none"/>
              </w:rPr>
            </w:pPr>
          </w:p>
        </w:tc>
      </w:tr>
      <w:tr w14:paraId="5DC0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50" w:type="dxa"/>
          </w:tcPr>
          <w:p w14:paraId="267E4B48">
            <w:pPr>
              <w:pStyle w:val="46"/>
              <w:spacing w:line="307" w:lineRule="exact"/>
              <w:ind w:left="295"/>
              <w:rPr>
                <w:sz w:val="24"/>
                <w:highlight w:val="none"/>
              </w:rPr>
            </w:pPr>
            <w:r>
              <w:rPr>
                <w:sz w:val="24"/>
                <w:highlight w:val="none"/>
              </w:rPr>
              <w:t xml:space="preserve">注册地址 </w:t>
            </w:r>
          </w:p>
        </w:tc>
        <w:tc>
          <w:tcPr>
            <w:tcW w:w="3769" w:type="dxa"/>
            <w:gridSpan w:val="2"/>
          </w:tcPr>
          <w:p w14:paraId="6E972AFD">
            <w:pPr>
              <w:pStyle w:val="46"/>
              <w:spacing w:line="307" w:lineRule="exact"/>
              <w:ind w:left="130"/>
              <w:jc w:val="center"/>
              <w:rPr>
                <w:sz w:val="24"/>
                <w:highlight w:val="none"/>
              </w:rPr>
            </w:pPr>
          </w:p>
        </w:tc>
        <w:tc>
          <w:tcPr>
            <w:tcW w:w="1332" w:type="dxa"/>
          </w:tcPr>
          <w:p w14:paraId="3350A00D">
            <w:pPr>
              <w:pStyle w:val="46"/>
              <w:spacing w:line="307" w:lineRule="exact"/>
              <w:ind w:left="229" w:right="92"/>
              <w:jc w:val="center"/>
              <w:rPr>
                <w:sz w:val="24"/>
                <w:highlight w:val="none"/>
              </w:rPr>
            </w:pPr>
            <w:r>
              <w:rPr>
                <w:sz w:val="24"/>
                <w:highlight w:val="none"/>
              </w:rPr>
              <w:t xml:space="preserve">邮政编码 </w:t>
            </w:r>
          </w:p>
        </w:tc>
        <w:tc>
          <w:tcPr>
            <w:tcW w:w="2663" w:type="dxa"/>
          </w:tcPr>
          <w:p w14:paraId="041B217A">
            <w:pPr>
              <w:pStyle w:val="46"/>
              <w:spacing w:line="307" w:lineRule="exact"/>
              <w:ind w:right="1203"/>
              <w:jc w:val="right"/>
              <w:rPr>
                <w:sz w:val="24"/>
                <w:highlight w:val="none"/>
              </w:rPr>
            </w:pPr>
          </w:p>
        </w:tc>
      </w:tr>
      <w:tr w14:paraId="5F00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550" w:type="dxa"/>
            <w:vMerge w:val="restart"/>
          </w:tcPr>
          <w:p w14:paraId="364D5F48">
            <w:pPr>
              <w:pStyle w:val="46"/>
              <w:spacing w:before="11"/>
              <w:rPr>
                <w:b/>
                <w:sz w:val="18"/>
                <w:highlight w:val="none"/>
              </w:rPr>
            </w:pPr>
          </w:p>
          <w:p w14:paraId="5B1C5C60">
            <w:pPr>
              <w:pStyle w:val="46"/>
              <w:ind w:left="292"/>
              <w:rPr>
                <w:sz w:val="24"/>
                <w:highlight w:val="none"/>
              </w:rPr>
            </w:pPr>
            <w:r>
              <w:rPr>
                <w:sz w:val="24"/>
                <w:highlight w:val="none"/>
              </w:rPr>
              <w:t xml:space="preserve">联系方式 </w:t>
            </w:r>
          </w:p>
        </w:tc>
        <w:tc>
          <w:tcPr>
            <w:tcW w:w="1107" w:type="dxa"/>
          </w:tcPr>
          <w:p w14:paraId="67B20706">
            <w:pPr>
              <w:pStyle w:val="46"/>
              <w:spacing w:before="2"/>
              <w:ind w:left="237" w:right="100"/>
              <w:jc w:val="center"/>
              <w:rPr>
                <w:sz w:val="24"/>
                <w:highlight w:val="none"/>
              </w:rPr>
            </w:pPr>
            <w:r>
              <w:rPr>
                <w:sz w:val="24"/>
                <w:highlight w:val="none"/>
              </w:rPr>
              <w:t xml:space="preserve">联系人 </w:t>
            </w:r>
          </w:p>
        </w:tc>
        <w:tc>
          <w:tcPr>
            <w:tcW w:w="2662" w:type="dxa"/>
          </w:tcPr>
          <w:p w14:paraId="4E942586">
            <w:pPr>
              <w:pStyle w:val="46"/>
              <w:spacing w:before="2"/>
              <w:ind w:right="1200"/>
              <w:jc w:val="right"/>
              <w:rPr>
                <w:sz w:val="24"/>
                <w:highlight w:val="none"/>
              </w:rPr>
            </w:pPr>
          </w:p>
        </w:tc>
        <w:tc>
          <w:tcPr>
            <w:tcW w:w="1332" w:type="dxa"/>
          </w:tcPr>
          <w:p w14:paraId="69791A87">
            <w:pPr>
              <w:pStyle w:val="46"/>
              <w:spacing w:before="2"/>
              <w:ind w:left="229" w:right="92"/>
              <w:jc w:val="center"/>
              <w:rPr>
                <w:sz w:val="24"/>
                <w:highlight w:val="none"/>
              </w:rPr>
            </w:pPr>
            <w:r>
              <w:rPr>
                <w:sz w:val="24"/>
                <w:highlight w:val="none"/>
              </w:rPr>
              <w:t xml:space="preserve">电 话 </w:t>
            </w:r>
          </w:p>
        </w:tc>
        <w:tc>
          <w:tcPr>
            <w:tcW w:w="2663" w:type="dxa"/>
          </w:tcPr>
          <w:p w14:paraId="03DD5C30">
            <w:pPr>
              <w:pStyle w:val="46"/>
              <w:spacing w:before="2"/>
              <w:ind w:right="1203"/>
              <w:jc w:val="right"/>
              <w:rPr>
                <w:sz w:val="24"/>
                <w:highlight w:val="none"/>
              </w:rPr>
            </w:pPr>
          </w:p>
        </w:tc>
      </w:tr>
      <w:tr w14:paraId="041A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50" w:type="dxa"/>
            <w:vMerge w:val="continue"/>
            <w:tcBorders>
              <w:top w:val="nil"/>
            </w:tcBorders>
          </w:tcPr>
          <w:p w14:paraId="1D58CD27">
            <w:pPr>
              <w:rPr>
                <w:sz w:val="2"/>
                <w:szCs w:val="2"/>
                <w:highlight w:val="none"/>
              </w:rPr>
            </w:pPr>
          </w:p>
        </w:tc>
        <w:tc>
          <w:tcPr>
            <w:tcW w:w="1107" w:type="dxa"/>
          </w:tcPr>
          <w:p w14:paraId="44A1F8CE">
            <w:pPr>
              <w:pStyle w:val="46"/>
              <w:spacing w:line="307" w:lineRule="exact"/>
              <w:ind w:left="237" w:right="100"/>
              <w:jc w:val="center"/>
              <w:rPr>
                <w:sz w:val="24"/>
                <w:highlight w:val="none"/>
              </w:rPr>
            </w:pPr>
            <w:r>
              <w:rPr>
                <w:sz w:val="24"/>
                <w:highlight w:val="none"/>
              </w:rPr>
              <w:t xml:space="preserve">传 真 </w:t>
            </w:r>
          </w:p>
        </w:tc>
        <w:tc>
          <w:tcPr>
            <w:tcW w:w="2662" w:type="dxa"/>
          </w:tcPr>
          <w:p w14:paraId="7A64B61E">
            <w:pPr>
              <w:pStyle w:val="46"/>
              <w:spacing w:line="307" w:lineRule="exact"/>
              <w:ind w:right="1200"/>
              <w:jc w:val="right"/>
              <w:rPr>
                <w:sz w:val="24"/>
                <w:highlight w:val="none"/>
              </w:rPr>
            </w:pPr>
          </w:p>
        </w:tc>
        <w:tc>
          <w:tcPr>
            <w:tcW w:w="1332" w:type="dxa"/>
          </w:tcPr>
          <w:p w14:paraId="149832FF">
            <w:pPr>
              <w:pStyle w:val="46"/>
              <w:spacing w:line="307" w:lineRule="exact"/>
              <w:ind w:left="229" w:right="92"/>
              <w:jc w:val="center"/>
              <w:rPr>
                <w:sz w:val="24"/>
                <w:highlight w:val="none"/>
              </w:rPr>
            </w:pPr>
            <w:r>
              <w:rPr>
                <w:sz w:val="24"/>
                <w:highlight w:val="none"/>
              </w:rPr>
              <w:t xml:space="preserve">网 址 </w:t>
            </w:r>
          </w:p>
        </w:tc>
        <w:tc>
          <w:tcPr>
            <w:tcW w:w="2663" w:type="dxa"/>
          </w:tcPr>
          <w:p w14:paraId="3DFBBC7A">
            <w:pPr>
              <w:pStyle w:val="46"/>
              <w:spacing w:line="307" w:lineRule="exact"/>
              <w:ind w:right="1203"/>
              <w:jc w:val="right"/>
              <w:rPr>
                <w:sz w:val="24"/>
                <w:highlight w:val="none"/>
              </w:rPr>
            </w:pPr>
          </w:p>
        </w:tc>
      </w:tr>
      <w:tr w14:paraId="2386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50" w:type="dxa"/>
          </w:tcPr>
          <w:p w14:paraId="63CEE1CC">
            <w:pPr>
              <w:pStyle w:val="46"/>
              <w:spacing w:before="2"/>
              <w:ind w:left="175"/>
              <w:rPr>
                <w:sz w:val="24"/>
                <w:highlight w:val="none"/>
              </w:rPr>
            </w:pPr>
            <w:r>
              <w:rPr>
                <w:sz w:val="24"/>
                <w:highlight w:val="none"/>
              </w:rPr>
              <w:t xml:space="preserve">法定代表人 </w:t>
            </w:r>
          </w:p>
        </w:tc>
        <w:tc>
          <w:tcPr>
            <w:tcW w:w="1107" w:type="dxa"/>
          </w:tcPr>
          <w:p w14:paraId="63E28803">
            <w:pPr>
              <w:pStyle w:val="46"/>
              <w:spacing w:before="2"/>
              <w:ind w:left="237" w:right="100"/>
              <w:jc w:val="center"/>
              <w:rPr>
                <w:sz w:val="24"/>
                <w:highlight w:val="none"/>
              </w:rPr>
            </w:pPr>
            <w:r>
              <w:rPr>
                <w:sz w:val="24"/>
                <w:highlight w:val="none"/>
              </w:rPr>
              <w:t xml:space="preserve">姓名 </w:t>
            </w:r>
          </w:p>
        </w:tc>
        <w:tc>
          <w:tcPr>
            <w:tcW w:w="2662" w:type="dxa"/>
          </w:tcPr>
          <w:p w14:paraId="59B80E61">
            <w:pPr>
              <w:pStyle w:val="46"/>
              <w:spacing w:before="2"/>
              <w:ind w:right="1200"/>
              <w:jc w:val="right"/>
              <w:rPr>
                <w:sz w:val="24"/>
                <w:highlight w:val="none"/>
              </w:rPr>
            </w:pPr>
          </w:p>
        </w:tc>
        <w:tc>
          <w:tcPr>
            <w:tcW w:w="1332" w:type="dxa"/>
          </w:tcPr>
          <w:p w14:paraId="54DD9472">
            <w:pPr>
              <w:pStyle w:val="46"/>
              <w:spacing w:before="2"/>
              <w:ind w:left="229" w:right="92"/>
              <w:jc w:val="center"/>
              <w:rPr>
                <w:sz w:val="24"/>
                <w:highlight w:val="none"/>
              </w:rPr>
            </w:pPr>
            <w:r>
              <w:rPr>
                <w:sz w:val="24"/>
                <w:highlight w:val="none"/>
              </w:rPr>
              <w:t xml:space="preserve">电话 </w:t>
            </w:r>
          </w:p>
        </w:tc>
        <w:tc>
          <w:tcPr>
            <w:tcW w:w="2663" w:type="dxa"/>
          </w:tcPr>
          <w:p w14:paraId="2E80BAAD">
            <w:pPr>
              <w:pStyle w:val="46"/>
              <w:spacing w:before="2"/>
              <w:ind w:right="1203"/>
              <w:jc w:val="right"/>
              <w:rPr>
                <w:sz w:val="24"/>
                <w:highlight w:val="none"/>
              </w:rPr>
            </w:pPr>
          </w:p>
        </w:tc>
      </w:tr>
      <w:tr w14:paraId="646E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50" w:type="dxa"/>
          </w:tcPr>
          <w:p w14:paraId="1CBC858F">
            <w:pPr>
              <w:pStyle w:val="46"/>
              <w:ind w:left="295"/>
              <w:rPr>
                <w:sz w:val="24"/>
                <w:highlight w:val="none"/>
              </w:rPr>
            </w:pPr>
            <w:r>
              <w:rPr>
                <w:sz w:val="24"/>
                <w:highlight w:val="none"/>
              </w:rPr>
              <w:t xml:space="preserve">成立时间 </w:t>
            </w:r>
          </w:p>
        </w:tc>
        <w:tc>
          <w:tcPr>
            <w:tcW w:w="7764" w:type="dxa"/>
            <w:gridSpan w:val="4"/>
          </w:tcPr>
          <w:p w14:paraId="070AB7D0">
            <w:pPr>
              <w:pStyle w:val="46"/>
              <w:ind w:left="129"/>
              <w:jc w:val="center"/>
              <w:rPr>
                <w:sz w:val="24"/>
                <w:highlight w:val="none"/>
              </w:rPr>
            </w:pPr>
          </w:p>
        </w:tc>
      </w:tr>
      <w:tr w14:paraId="3DC1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50" w:type="dxa"/>
          </w:tcPr>
          <w:p w14:paraId="0BD45906">
            <w:pPr>
              <w:pStyle w:val="46"/>
              <w:ind w:left="295"/>
              <w:rPr>
                <w:sz w:val="24"/>
                <w:highlight w:val="none"/>
              </w:rPr>
            </w:pPr>
            <w:r>
              <w:rPr>
                <w:sz w:val="24"/>
                <w:highlight w:val="none"/>
              </w:rPr>
              <w:t xml:space="preserve">开户银行 </w:t>
            </w:r>
          </w:p>
        </w:tc>
        <w:tc>
          <w:tcPr>
            <w:tcW w:w="7764" w:type="dxa"/>
            <w:gridSpan w:val="4"/>
          </w:tcPr>
          <w:p w14:paraId="6837C9D4">
            <w:pPr>
              <w:pStyle w:val="46"/>
              <w:ind w:left="129"/>
              <w:jc w:val="center"/>
              <w:rPr>
                <w:sz w:val="24"/>
                <w:highlight w:val="none"/>
              </w:rPr>
            </w:pPr>
          </w:p>
        </w:tc>
      </w:tr>
      <w:tr w14:paraId="1536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0" w:type="dxa"/>
          </w:tcPr>
          <w:p w14:paraId="7F227D8B">
            <w:pPr>
              <w:pStyle w:val="46"/>
              <w:spacing w:before="4"/>
              <w:ind w:left="535"/>
              <w:rPr>
                <w:sz w:val="24"/>
                <w:highlight w:val="none"/>
              </w:rPr>
            </w:pPr>
            <w:r>
              <w:rPr>
                <w:sz w:val="24"/>
                <w:highlight w:val="none"/>
              </w:rPr>
              <w:t xml:space="preserve">账号 </w:t>
            </w:r>
          </w:p>
        </w:tc>
        <w:tc>
          <w:tcPr>
            <w:tcW w:w="7764" w:type="dxa"/>
            <w:gridSpan w:val="4"/>
          </w:tcPr>
          <w:p w14:paraId="1B1A9F03">
            <w:pPr>
              <w:pStyle w:val="46"/>
              <w:spacing w:before="4"/>
              <w:ind w:left="129"/>
              <w:jc w:val="center"/>
              <w:rPr>
                <w:sz w:val="24"/>
                <w:highlight w:val="none"/>
              </w:rPr>
            </w:pPr>
          </w:p>
        </w:tc>
      </w:tr>
      <w:tr w14:paraId="383B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9" w:hRule="atLeast"/>
        </w:trPr>
        <w:tc>
          <w:tcPr>
            <w:tcW w:w="1550" w:type="dxa"/>
          </w:tcPr>
          <w:p w14:paraId="6B35FD38">
            <w:pPr>
              <w:pStyle w:val="46"/>
              <w:rPr>
                <w:b/>
                <w:sz w:val="24"/>
                <w:highlight w:val="none"/>
              </w:rPr>
            </w:pPr>
          </w:p>
          <w:p w14:paraId="06BB6E26">
            <w:pPr>
              <w:pStyle w:val="46"/>
              <w:rPr>
                <w:b/>
                <w:sz w:val="24"/>
                <w:highlight w:val="none"/>
              </w:rPr>
            </w:pPr>
          </w:p>
          <w:p w14:paraId="2F5987E5">
            <w:pPr>
              <w:pStyle w:val="46"/>
              <w:rPr>
                <w:b/>
                <w:sz w:val="24"/>
                <w:highlight w:val="none"/>
              </w:rPr>
            </w:pPr>
          </w:p>
          <w:p w14:paraId="538E8160">
            <w:pPr>
              <w:pStyle w:val="46"/>
              <w:rPr>
                <w:b/>
                <w:sz w:val="24"/>
                <w:highlight w:val="none"/>
              </w:rPr>
            </w:pPr>
          </w:p>
          <w:p w14:paraId="015ABEF0">
            <w:pPr>
              <w:pStyle w:val="46"/>
              <w:spacing w:before="9"/>
              <w:rPr>
                <w:b/>
                <w:sz w:val="31"/>
                <w:highlight w:val="none"/>
              </w:rPr>
            </w:pPr>
          </w:p>
          <w:p w14:paraId="45241A31">
            <w:pPr>
              <w:pStyle w:val="46"/>
              <w:ind w:left="218"/>
              <w:rPr>
                <w:sz w:val="24"/>
                <w:highlight w:val="none"/>
              </w:rPr>
            </w:pPr>
            <w:r>
              <w:rPr>
                <w:sz w:val="24"/>
                <w:highlight w:val="none"/>
              </w:rPr>
              <w:t xml:space="preserve">业务范围 </w:t>
            </w:r>
          </w:p>
        </w:tc>
        <w:tc>
          <w:tcPr>
            <w:tcW w:w="7764" w:type="dxa"/>
            <w:gridSpan w:val="4"/>
          </w:tcPr>
          <w:p w14:paraId="2B55EC8B">
            <w:pPr>
              <w:pStyle w:val="46"/>
              <w:rPr>
                <w:b/>
                <w:sz w:val="24"/>
                <w:highlight w:val="none"/>
              </w:rPr>
            </w:pPr>
          </w:p>
          <w:p w14:paraId="7C6BF042">
            <w:pPr>
              <w:pStyle w:val="46"/>
              <w:rPr>
                <w:b/>
                <w:sz w:val="24"/>
                <w:highlight w:val="none"/>
              </w:rPr>
            </w:pPr>
          </w:p>
          <w:p w14:paraId="40A7B71E">
            <w:pPr>
              <w:pStyle w:val="46"/>
              <w:rPr>
                <w:b/>
                <w:sz w:val="24"/>
                <w:highlight w:val="none"/>
              </w:rPr>
            </w:pPr>
          </w:p>
          <w:p w14:paraId="0925B652">
            <w:pPr>
              <w:pStyle w:val="46"/>
              <w:rPr>
                <w:b/>
                <w:sz w:val="24"/>
                <w:highlight w:val="none"/>
              </w:rPr>
            </w:pPr>
          </w:p>
          <w:p w14:paraId="40ED5790">
            <w:pPr>
              <w:pStyle w:val="46"/>
              <w:spacing w:before="9"/>
              <w:rPr>
                <w:b/>
                <w:sz w:val="31"/>
                <w:highlight w:val="none"/>
              </w:rPr>
            </w:pPr>
          </w:p>
          <w:p w14:paraId="3096F788">
            <w:pPr>
              <w:pStyle w:val="46"/>
              <w:ind w:left="129"/>
              <w:jc w:val="center"/>
              <w:rPr>
                <w:sz w:val="24"/>
                <w:highlight w:val="none"/>
              </w:rPr>
            </w:pPr>
          </w:p>
        </w:tc>
      </w:tr>
      <w:tr w14:paraId="6E71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1550" w:type="dxa"/>
          </w:tcPr>
          <w:p w14:paraId="422546D8">
            <w:pPr>
              <w:pStyle w:val="46"/>
              <w:spacing w:before="1"/>
              <w:rPr>
                <w:b/>
                <w:sz w:val="22"/>
                <w:highlight w:val="none"/>
              </w:rPr>
            </w:pPr>
          </w:p>
          <w:p w14:paraId="5392BEFB">
            <w:pPr>
              <w:pStyle w:val="46"/>
              <w:ind w:left="458"/>
              <w:rPr>
                <w:sz w:val="24"/>
                <w:highlight w:val="none"/>
              </w:rPr>
            </w:pPr>
            <w:r>
              <w:rPr>
                <w:sz w:val="24"/>
                <w:highlight w:val="none"/>
              </w:rPr>
              <w:t xml:space="preserve">备注 </w:t>
            </w:r>
          </w:p>
        </w:tc>
        <w:tc>
          <w:tcPr>
            <w:tcW w:w="7764" w:type="dxa"/>
            <w:gridSpan w:val="4"/>
          </w:tcPr>
          <w:p w14:paraId="58A2206C">
            <w:pPr>
              <w:pStyle w:val="46"/>
              <w:spacing w:before="1"/>
              <w:rPr>
                <w:b/>
                <w:sz w:val="22"/>
                <w:highlight w:val="none"/>
              </w:rPr>
            </w:pPr>
          </w:p>
          <w:p w14:paraId="22F44ECE">
            <w:pPr>
              <w:pStyle w:val="46"/>
              <w:ind w:left="129"/>
              <w:jc w:val="center"/>
              <w:rPr>
                <w:sz w:val="24"/>
                <w:highlight w:val="none"/>
              </w:rPr>
            </w:pPr>
          </w:p>
        </w:tc>
      </w:tr>
    </w:tbl>
    <w:p w14:paraId="1E9AEFF7">
      <w:pPr>
        <w:tabs>
          <w:tab w:val="left" w:pos="3021"/>
        </w:tabs>
        <w:ind w:left="141"/>
        <w:jc w:val="left"/>
        <w:rPr>
          <w:b/>
          <w:sz w:val="24"/>
          <w:highlight w:val="none"/>
        </w:rPr>
      </w:pPr>
      <w:r>
        <w:rPr>
          <w:b/>
          <w:sz w:val="24"/>
          <w:highlight w:val="none"/>
        </w:rPr>
        <w:tab/>
      </w:r>
    </w:p>
    <w:p w14:paraId="568A5BCB">
      <w:pPr>
        <w:jc w:val="left"/>
        <w:rPr>
          <w:sz w:val="24"/>
          <w:highlight w:val="none"/>
        </w:rPr>
        <w:sectPr>
          <w:pgSz w:w="11920" w:h="16850"/>
          <w:pgMar w:top="1420" w:right="800" w:bottom="1240" w:left="1040" w:header="0" w:footer="1043" w:gutter="0"/>
          <w:cols w:space="720" w:num="1"/>
        </w:sectPr>
      </w:pPr>
    </w:p>
    <w:p w14:paraId="66A22198">
      <w:pPr>
        <w:spacing w:before="38"/>
        <w:ind w:left="667" w:right="884"/>
        <w:jc w:val="center"/>
        <w:rPr>
          <w:b/>
          <w:sz w:val="24"/>
          <w:highlight w:val="none"/>
        </w:rPr>
      </w:pPr>
      <w:r>
        <w:rPr>
          <w:b/>
          <w:sz w:val="24"/>
          <w:highlight w:val="none"/>
        </w:rPr>
        <w:t>（二）证明材料</w:t>
      </w:r>
    </w:p>
    <w:p w14:paraId="03B27D2B">
      <w:pPr>
        <w:jc w:val="center"/>
        <w:rPr>
          <w:sz w:val="24"/>
          <w:highlight w:val="none"/>
        </w:rPr>
      </w:pPr>
    </w:p>
    <w:p w14:paraId="6BEFAEFC">
      <w:pPr>
        <w:pStyle w:val="25"/>
        <w:spacing w:after="0" w:line="560" w:lineRule="exact"/>
        <w:ind w:firstLine="0" w:firstLineChars="0"/>
        <w:rPr>
          <w:rFonts w:asciiTheme="minorEastAsia" w:hAnsiTheme="minorEastAsia" w:eastAsiaTheme="minorEastAsia" w:cstheme="minorEastAsia"/>
          <w:sz w:val="24"/>
          <w:highlight w:val="none"/>
        </w:rPr>
      </w:pPr>
      <w:bookmarkStart w:id="629" w:name="_Toc31040"/>
      <w:r>
        <w:rPr>
          <w:rFonts w:hint="eastAsia" w:asciiTheme="minorEastAsia" w:hAnsiTheme="minorEastAsia" w:eastAsiaTheme="minorEastAsia" w:cstheme="minorEastAsia"/>
          <w:sz w:val="24"/>
          <w:highlight w:val="none"/>
        </w:rPr>
        <w:t>1.满足《中华人民共和国政府采购法》第二十二条规定；</w:t>
      </w:r>
    </w:p>
    <w:p w14:paraId="4962319D">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1.1.具有独立承担民事责任的能力（法人或其他组织的营业执照等证明文件，自然人的身份证明）；</w:t>
      </w:r>
    </w:p>
    <w:p w14:paraId="0B74D70B">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1.2.具有良好的商业信誉和健全的财务会计制度【提供202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年或202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年度财务审计报告，成立年限不足一年的可提供基本账户开户银行出具的资信证明或承诺具有良好的商业信誉和健全的财务会计制度】；</w:t>
      </w:r>
    </w:p>
    <w:p w14:paraId="4E079FCA">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1.3.具有履行合同所必需的设备和专业技术能力（提供承诺书）；</w:t>
      </w:r>
    </w:p>
    <w:p w14:paraId="7D0A44C8">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1.4.有依法缴纳税收和社会保障资金的良好记录【提供自202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01月01日以来任意1个月依法缴纳税收和社会保障资金的证明。依法免税或不需要缴纳社会保障资金的投标人，应提供相应文件证明其依法免税或不需要缴纳社会保障资金】或承诺有依法缴纳税收和社会保障资金的良好记录；</w:t>
      </w:r>
    </w:p>
    <w:p w14:paraId="0C7839D6">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1.5.参加政府采购活动前三年内，在经营活动中没有重大违法记录（提供书面声明）；</w:t>
      </w:r>
    </w:p>
    <w:p w14:paraId="5C7F536C">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1.6法律、行政法规规定的其他条件。</w:t>
      </w:r>
    </w:p>
    <w:p w14:paraId="5360EBE6">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注：1.1-1.6项如不能提供相应资料，仅须如实提供书面承诺符合资格条件且无纳税、社保、重大违法等方面失信记录以及具备履行合同所必须的设备和能力的声明函，即认为满足条件可参与政府采购。</w:t>
      </w:r>
    </w:p>
    <w:p w14:paraId="3F8AEA07">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2、落实政府采购政策满足的资格要求：</w:t>
      </w:r>
      <w:r>
        <w:rPr>
          <w:rFonts w:hint="eastAsia"/>
          <w:sz w:val="24"/>
          <w:szCs w:val="24"/>
          <w:highlight w:val="none"/>
        </w:rPr>
        <w:t>本项目专门面向中小企业采购，不再执行价格评审优惠的扶持政策。</w:t>
      </w:r>
    </w:p>
    <w:p w14:paraId="28DDDA7A">
      <w:pPr>
        <w:pStyle w:val="25"/>
        <w:spacing w:after="0"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14:paraId="5931792F">
      <w:pPr>
        <w:pStyle w:val="25"/>
        <w:spacing w:after="0" w:line="56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3.1供应商应具有市场监督管理部门颁发的《食品经营许可证》</w:t>
      </w:r>
      <w:r>
        <w:rPr>
          <w:rFonts w:hint="eastAsia" w:asciiTheme="minorEastAsia" w:hAnsiTheme="minorEastAsia" w:eastAsiaTheme="minorEastAsia" w:cstheme="minorEastAsia"/>
          <w:sz w:val="24"/>
          <w:highlight w:val="none"/>
          <w:lang w:eastAsia="zh-CN"/>
        </w:rPr>
        <w:t>；</w:t>
      </w:r>
    </w:p>
    <w:p w14:paraId="39666B34">
      <w:pPr>
        <w:pStyle w:val="25"/>
        <w:spacing w:after="0" w:line="56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 xml:space="preserve">3.2 </w:t>
      </w:r>
      <w:r>
        <w:rPr>
          <w:rFonts w:hint="eastAsia"/>
          <w:sz w:val="24"/>
          <w:szCs w:val="24"/>
          <w:highlight w:val="none"/>
        </w:rPr>
        <w:t>根据《关于在政府采购活动中查询及使用信用记录有关问题的通知》(财库[2016]125号)的规定，对列入失信被执行人、税收违法黑名单、政府采购严重违法失信行为记录名单的供应商，拒绝参与本项目政府采购活动；【查询渠道：“中国执行信息公开网（zxgk.court.gov.cn）（信用中国网站可跳转）”查询：失信被执行人名单；“信用中国（http://www.creditchina.gov.cn/”网站中查询“重大税收违法案件当事人名单”），“中国政府采购网（www.ccgp.gov.cn）”网站中查询“政府采购严重违法失信行为记录名单”。】；注：采购代理机构在开标当天将对所有参与本项目投标的供应商的信用情况（失信被执行人、重大税收违法案件当事人名单、政府采购严重违法失信行为记录名单）进行查询、打印留存。若在开标当天查询到供应商有相关负面信息的，则该供应商的投标视为无效</w:t>
      </w:r>
      <w:r>
        <w:rPr>
          <w:rFonts w:hint="eastAsia" w:asciiTheme="minorEastAsia" w:hAnsiTheme="minorEastAsia" w:eastAsiaTheme="minorEastAsia" w:cstheme="minorEastAsia"/>
          <w:sz w:val="24"/>
          <w:highlight w:val="none"/>
          <w:lang w:eastAsia="zh-CN"/>
        </w:rPr>
        <w:t>；</w:t>
      </w:r>
    </w:p>
    <w:p w14:paraId="3D3448E4">
      <w:pPr>
        <w:pStyle w:val="25"/>
        <w:spacing w:after="0" w:line="560" w:lineRule="exact"/>
        <w:ind w:firstLine="480" w:firstLineChars="200"/>
        <w:rPr>
          <w:rFonts w:hint="eastAsia"/>
          <w:sz w:val="24"/>
          <w:szCs w:val="24"/>
          <w:highlight w:val="none"/>
        </w:rPr>
      </w:pPr>
      <w:r>
        <w:rPr>
          <w:rFonts w:hint="eastAsia"/>
          <w:sz w:val="24"/>
          <w:szCs w:val="24"/>
          <w:highlight w:val="none"/>
        </w:rPr>
        <w:t>3.3与采购人、采购人就本次采购的项目委托的代理机构以及上述机构的附属机构没有行政或经济关联。</w:t>
      </w:r>
    </w:p>
    <w:p w14:paraId="3C7DFCF3">
      <w:pPr>
        <w:pStyle w:val="25"/>
        <w:spacing w:line="560" w:lineRule="exact"/>
        <w:ind w:firstLine="480" w:firstLineChars="200"/>
        <w:rPr>
          <w:rFonts w:hint="eastAsia" w:ascii="Times New Roman" w:hAnsi="Times New Roman" w:eastAsia="宋体" w:cs="Times New Roman"/>
          <w:b w:val="0"/>
          <w:sz w:val="24"/>
          <w:szCs w:val="24"/>
          <w:highlight w:val="none"/>
        </w:rPr>
      </w:pPr>
      <w:r>
        <w:rPr>
          <w:rFonts w:hint="eastAsia"/>
          <w:sz w:val="24"/>
          <w:szCs w:val="24"/>
          <w:highlight w:val="none"/>
        </w:rPr>
        <w:t>3.4单位负责人为同一人或者存在直接控股、管理关系的不同供应商，不得参加同一合同项下的政府采购活动。</w:t>
      </w:r>
      <w:r>
        <w:rPr>
          <w:rFonts w:hint="eastAsia" w:ascii="Times New Roman" w:hAnsi="Times New Roman" w:eastAsia="宋体" w:cs="Times New Roman"/>
          <w:sz w:val="24"/>
          <w:szCs w:val="24"/>
          <w:highlight w:val="none"/>
        </w:rPr>
        <w:t>。</w:t>
      </w:r>
      <w:bookmarkEnd w:id="629"/>
      <w:bookmarkStart w:id="630" w:name="_bookmark11"/>
      <w:bookmarkEnd w:id="630"/>
      <w:bookmarkStart w:id="631" w:name="六、项目管理机构"/>
      <w:bookmarkEnd w:id="631"/>
      <w:r>
        <w:rPr>
          <w:rFonts w:hint="eastAsia" w:ascii="Times New Roman" w:hAnsi="Times New Roman" w:eastAsia="宋体" w:cs="Times New Roman"/>
          <w:b w:val="0"/>
          <w:sz w:val="24"/>
          <w:szCs w:val="24"/>
          <w:highlight w:val="none"/>
        </w:rPr>
        <w:tab/>
      </w:r>
    </w:p>
    <w:p w14:paraId="709B8204">
      <w:pPr>
        <w:pStyle w:val="25"/>
        <w:spacing w:line="560" w:lineRule="exact"/>
        <w:ind w:firstLine="480" w:firstLineChars="200"/>
        <w:rPr>
          <w:rFonts w:hint="eastAsia" w:ascii="Times New Roman" w:hAnsi="Times New Roman" w:eastAsia="宋体" w:cs="Times New Roman"/>
          <w:b w:val="0"/>
          <w:sz w:val="24"/>
          <w:szCs w:val="24"/>
          <w:highlight w:val="none"/>
        </w:rPr>
      </w:pPr>
      <w:bookmarkStart w:id="632" w:name="七、服务承诺"/>
      <w:bookmarkEnd w:id="632"/>
      <w:bookmarkStart w:id="633" w:name="_bookmark12"/>
      <w:bookmarkEnd w:id="633"/>
      <w:r>
        <w:rPr>
          <w:rFonts w:hint="eastAsia" w:ascii="Times New Roman" w:hAnsi="Times New Roman" w:eastAsia="宋体" w:cs="Times New Roman"/>
          <w:b w:val="0"/>
          <w:sz w:val="24"/>
          <w:szCs w:val="24"/>
          <w:highlight w:val="none"/>
        </w:rPr>
        <w:br w:type="page"/>
      </w:r>
    </w:p>
    <w:p w14:paraId="35EA7FB7">
      <w:pPr>
        <w:spacing w:before="40"/>
        <w:jc w:val="center"/>
        <w:rPr>
          <w:b/>
          <w:sz w:val="24"/>
          <w:highlight w:val="none"/>
        </w:rPr>
      </w:pPr>
      <w:r>
        <w:rPr>
          <w:b/>
          <w:sz w:val="32"/>
          <w:highlight w:val="none"/>
        </w:rPr>
        <w:t>七、</w:t>
      </w:r>
      <w:r>
        <w:rPr>
          <w:rFonts w:hint="eastAsia" w:ascii="宋体" w:hAnsi="宋体" w:cs="宋体"/>
          <w:b/>
          <w:kern w:val="0"/>
          <w:sz w:val="32"/>
          <w:szCs w:val="32"/>
          <w:highlight w:val="none"/>
        </w:rPr>
        <w:t>反商业贿赂承诺书</w:t>
      </w:r>
    </w:p>
    <w:p w14:paraId="2F0BDD42">
      <w:pPr>
        <w:spacing w:before="213"/>
        <w:ind w:left="4142"/>
        <w:jc w:val="left"/>
        <w:rPr>
          <w:b/>
          <w:sz w:val="24"/>
          <w:highlight w:val="none"/>
        </w:rPr>
      </w:pPr>
    </w:p>
    <w:p w14:paraId="50F7960B">
      <w:pPr>
        <w:pStyle w:val="10"/>
        <w:spacing w:before="158"/>
        <w:ind w:firstLine="363"/>
        <w:rPr>
          <w:highlight w:val="none"/>
        </w:rPr>
      </w:pPr>
      <w:r>
        <w:rPr>
          <w:highlight w:val="none"/>
        </w:rPr>
        <w:t xml:space="preserve">我公司承诺： </w:t>
      </w:r>
    </w:p>
    <w:p w14:paraId="07293701">
      <w:pPr>
        <w:pStyle w:val="10"/>
        <w:tabs>
          <w:tab w:val="left" w:pos="1840"/>
          <w:tab w:val="left" w:pos="3640"/>
        </w:tabs>
        <w:spacing w:before="161" w:line="362" w:lineRule="auto"/>
        <w:ind w:left="223" w:right="3824" w:firstLine="363"/>
        <w:rPr>
          <w:highlight w:val="none"/>
        </w:rPr>
      </w:pPr>
      <w:r>
        <w:rPr>
          <w:highlight w:val="none"/>
        </w:rPr>
        <w:t>在</w:t>
      </w:r>
      <w:r>
        <w:rPr>
          <w:highlight w:val="none"/>
          <w:u w:val="single"/>
        </w:rPr>
        <w:tab/>
      </w:r>
      <w:r>
        <w:rPr>
          <w:highlight w:val="none"/>
          <w:u w:val="single"/>
        </w:rPr>
        <w:t>（项目名称）</w:t>
      </w:r>
      <w:r>
        <w:rPr>
          <w:highlight w:val="none"/>
          <w:u w:val="single"/>
        </w:rPr>
        <w:tab/>
      </w:r>
      <w:r>
        <w:rPr>
          <w:highlight w:val="none"/>
        </w:rPr>
        <w:t>活动中，</w:t>
      </w:r>
    </w:p>
    <w:p w14:paraId="1EAA051D">
      <w:pPr>
        <w:pStyle w:val="10"/>
        <w:tabs>
          <w:tab w:val="left" w:pos="1840"/>
          <w:tab w:val="left" w:pos="3640"/>
        </w:tabs>
        <w:spacing w:before="161" w:line="362" w:lineRule="auto"/>
        <w:ind w:left="223" w:right="3824" w:firstLine="363"/>
        <w:rPr>
          <w:spacing w:val="-17"/>
          <w:highlight w:val="none"/>
        </w:rPr>
      </w:pPr>
      <w:r>
        <w:rPr>
          <w:highlight w:val="none"/>
        </w:rPr>
        <w:t>我公司保证做到</w:t>
      </w:r>
      <w:r>
        <w:rPr>
          <w:spacing w:val="-17"/>
          <w:highlight w:val="none"/>
        </w:rPr>
        <w:t xml:space="preserve">： </w:t>
      </w:r>
    </w:p>
    <w:p w14:paraId="59C9BA81">
      <w:pPr>
        <w:pStyle w:val="10"/>
        <w:tabs>
          <w:tab w:val="left" w:pos="1840"/>
          <w:tab w:val="left" w:pos="3640"/>
        </w:tabs>
        <w:spacing w:before="161" w:line="362" w:lineRule="auto"/>
        <w:ind w:left="223" w:right="3824" w:firstLine="363"/>
        <w:rPr>
          <w:highlight w:val="none"/>
        </w:rPr>
      </w:pPr>
      <w:r>
        <w:rPr>
          <w:highlight w:val="none"/>
        </w:rPr>
        <w:t xml:space="preserve">一、公平竞争参加本次磋商活动。 </w:t>
      </w:r>
    </w:p>
    <w:p w14:paraId="38F8FD25">
      <w:pPr>
        <w:pStyle w:val="10"/>
        <w:spacing w:before="5" w:line="364" w:lineRule="auto"/>
        <w:ind w:right="531" w:firstLine="626" w:firstLineChars="323"/>
        <w:rPr>
          <w:highlight w:val="none"/>
        </w:rPr>
      </w:pPr>
      <w:r>
        <w:rPr>
          <w:spacing w:val="-8"/>
          <w:highlight w:val="none"/>
        </w:rPr>
        <w:t>二、杜绝任何形式的商业贿赂行为。不向国家工作人员、政府采购代理机构工作人员、评</w:t>
      </w:r>
      <w:r>
        <w:rPr>
          <w:spacing w:val="-12"/>
          <w:highlight w:val="none"/>
        </w:rPr>
        <w:t>审专家及其亲属提供礼品礼金、有价证券、购物券、回扣、佣金、咨询费、劳务费、赞助费、宣传费、宴请；不为其报销各种消费凭证，不支付其旅游、娱乐等费用。</w:t>
      </w:r>
    </w:p>
    <w:p w14:paraId="2972B42D">
      <w:pPr>
        <w:pStyle w:val="10"/>
        <w:spacing w:line="362" w:lineRule="auto"/>
        <w:ind w:right="707" w:firstLine="688" w:firstLineChars="328"/>
        <w:rPr>
          <w:highlight w:val="none"/>
        </w:rPr>
      </w:pPr>
      <w:r>
        <w:rPr>
          <w:highlight w:val="none"/>
        </w:rPr>
        <w:t xml:space="preserve">三、若出现上述行为，我公司及参与磋商的工作人员愿意接受按照国家法律法规等有关规定给予的处罚。 </w:t>
      </w:r>
    </w:p>
    <w:p w14:paraId="72BBA4DB">
      <w:pPr>
        <w:pStyle w:val="10"/>
        <w:spacing w:before="4"/>
        <w:ind w:left="223" w:firstLine="363"/>
        <w:rPr>
          <w:highlight w:val="none"/>
        </w:rPr>
      </w:pPr>
    </w:p>
    <w:p w14:paraId="714D447D">
      <w:pPr>
        <w:pStyle w:val="10"/>
        <w:ind w:firstLine="346"/>
        <w:rPr>
          <w:sz w:val="20"/>
          <w:highlight w:val="none"/>
        </w:rPr>
      </w:pPr>
    </w:p>
    <w:p w14:paraId="5D2C6353">
      <w:pPr>
        <w:pStyle w:val="10"/>
        <w:ind w:firstLine="346"/>
        <w:rPr>
          <w:sz w:val="20"/>
          <w:highlight w:val="none"/>
        </w:rPr>
      </w:pPr>
    </w:p>
    <w:p w14:paraId="4C9C1094">
      <w:pPr>
        <w:pStyle w:val="10"/>
        <w:ind w:firstLine="346"/>
        <w:rPr>
          <w:sz w:val="20"/>
          <w:highlight w:val="none"/>
        </w:rPr>
      </w:pPr>
    </w:p>
    <w:p w14:paraId="0B939AFF">
      <w:pPr>
        <w:pStyle w:val="10"/>
        <w:spacing w:before="1"/>
        <w:ind w:firstLine="346"/>
        <w:rPr>
          <w:sz w:val="20"/>
          <w:highlight w:val="none"/>
        </w:rPr>
      </w:pPr>
    </w:p>
    <w:p w14:paraId="2BABD921">
      <w:pPr>
        <w:pStyle w:val="10"/>
        <w:spacing w:before="66"/>
        <w:ind w:left="223" w:firstLine="363"/>
        <w:rPr>
          <w:highlight w:val="none"/>
        </w:rPr>
      </w:pPr>
      <w:r>
        <w:rPr>
          <w:highlight w:val="none"/>
        </w:rPr>
        <w:t xml:space="preserve">            供应商（公章） </w:t>
      </w:r>
    </w:p>
    <w:p w14:paraId="75C018D9">
      <w:pPr>
        <w:pStyle w:val="10"/>
        <w:spacing w:before="161"/>
        <w:ind w:left="223" w:right="884" w:firstLine="363"/>
        <w:jc w:val="center"/>
        <w:rPr>
          <w:highlight w:val="none"/>
        </w:rPr>
      </w:pPr>
      <w:r>
        <w:rPr>
          <w:highlight w:val="none"/>
        </w:rPr>
        <w:t xml:space="preserve">年  月 日 </w:t>
      </w:r>
    </w:p>
    <w:p w14:paraId="22C1B5C2">
      <w:pPr>
        <w:pStyle w:val="6"/>
        <w:rPr>
          <w:color w:val="auto"/>
          <w:highlight w:val="none"/>
        </w:rPr>
      </w:pPr>
    </w:p>
    <w:p w14:paraId="7D356D6D">
      <w:pPr>
        <w:rPr>
          <w:highlight w:val="none"/>
        </w:rPr>
        <w:sectPr>
          <w:pgSz w:w="11920" w:h="16850"/>
          <w:pgMar w:top="1420" w:right="580" w:bottom="1240" w:left="1040" w:header="0" w:footer="1043" w:gutter="0"/>
          <w:cols w:space="720" w:num="1"/>
        </w:sectPr>
      </w:pPr>
    </w:p>
    <w:p w14:paraId="019031D3">
      <w:pPr>
        <w:rPr>
          <w:b/>
          <w:sz w:val="32"/>
          <w:highlight w:val="none"/>
        </w:rPr>
      </w:pPr>
      <w:bookmarkStart w:id="634" w:name="八、其他资料"/>
      <w:bookmarkEnd w:id="634"/>
      <w:bookmarkStart w:id="635" w:name="_bookmark13"/>
      <w:bookmarkEnd w:id="635"/>
      <w:r>
        <w:rPr>
          <w:b/>
          <w:sz w:val="32"/>
          <w:highlight w:val="none"/>
        </w:rPr>
        <w:br w:type="page"/>
      </w:r>
    </w:p>
    <w:p w14:paraId="0617CC89">
      <w:pPr>
        <w:spacing w:before="40"/>
        <w:ind w:left="667" w:right="884"/>
        <w:jc w:val="center"/>
        <w:rPr>
          <w:b/>
          <w:sz w:val="24"/>
          <w:highlight w:val="none"/>
        </w:rPr>
      </w:pPr>
      <w:r>
        <w:rPr>
          <w:b/>
          <w:sz w:val="32"/>
          <w:highlight w:val="none"/>
        </w:rPr>
        <w:t>八、其他资料</w:t>
      </w:r>
    </w:p>
    <w:p w14:paraId="0C7A6B6D">
      <w:pPr>
        <w:spacing w:before="213"/>
        <w:ind w:left="667" w:right="884"/>
        <w:jc w:val="center"/>
        <w:rPr>
          <w:b/>
          <w:sz w:val="24"/>
          <w:highlight w:val="none"/>
        </w:rPr>
      </w:pPr>
      <w:r>
        <w:rPr>
          <w:b/>
          <w:sz w:val="24"/>
          <w:highlight w:val="none"/>
        </w:rPr>
        <w:t>（一）中小企业声明函（工程、服务）</w:t>
      </w:r>
    </w:p>
    <w:p w14:paraId="0BD9F0C9">
      <w:pPr>
        <w:pStyle w:val="10"/>
        <w:ind w:firstLine="365"/>
        <w:rPr>
          <w:b/>
          <w:highlight w:val="none"/>
        </w:rPr>
      </w:pPr>
    </w:p>
    <w:p w14:paraId="446EAF4A">
      <w:pPr>
        <w:pStyle w:val="10"/>
        <w:spacing w:before="10"/>
        <w:ind w:firstLine="365"/>
        <w:rPr>
          <w:b/>
          <w:highlight w:val="none"/>
        </w:rPr>
      </w:pPr>
    </w:p>
    <w:p w14:paraId="5BA5FE11">
      <w:pPr>
        <w:tabs>
          <w:tab w:val="left" w:pos="420"/>
        </w:tabs>
        <w:spacing w:line="360" w:lineRule="auto"/>
        <w:ind w:firstLine="412" w:firstLineChars="200"/>
        <w:rPr>
          <w:rFonts w:ascii="宋体" w:hAnsi="宋体" w:cs="宋体"/>
          <w:kern w:val="0"/>
          <w:szCs w:val="21"/>
          <w:highlight w:val="none"/>
        </w:rPr>
      </w:pPr>
      <w:r>
        <w:rPr>
          <w:rFonts w:hint="eastAsia" w:ascii="宋体" w:hAnsi="宋体" w:cs="宋体"/>
          <w:spacing w:val="-2"/>
          <w:kern w:val="0"/>
          <w:szCs w:val="21"/>
          <w:highlight w:val="none"/>
        </w:rPr>
        <w:t>本公司</w:t>
      </w:r>
      <w:r>
        <w:rPr>
          <w:rFonts w:hint="eastAsia" w:ascii="宋体" w:hAnsi="宋体" w:cs="宋体"/>
          <w:kern w:val="0"/>
          <w:szCs w:val="21"/>
          <w:highlight w:val="none"/>
        </w:rPr>
        <w:t>（联合体</w:t>
      </w:r>
      <w:r>
        <w:rPr>
          <w:rFonts w:hint="eastAsia" w:ascii="宋体" w:hAnsi="宋体" w:cs="宋体"/>
          <w:spacing w:val="-5"/>
          <w:kern w:val="0"/>
          <w:szCs w:val="21"/>
          <w:highlight w:val="none"/>
        </w:rPr>
        <w:t>）</w:t>
      </w:r>
      <w:r>
        <w:rPr>
          <w:rFonts w:hint="eastAsia" w:ascii="宋体" w:hAnsi="宋体" w:cs="宋体"/>
          <w:spacing w:val="-2"/>
          <w:kern w:val="0"/>
          <w:szCs w:val="21"/>
          <w:highlight w:val="none"/>
        </w:rPr>
        <w:t>郑重声明，根据《政府采购促进中小</w:t>
      </w:r>
      <w:r>
        <w:rPr>
          <w:rFonts w:hint="eastAsia" w:ascii="宋体" w:hAnsi="宋体" w:cs="宋体"/>
          <w:spacing w:val="-18"/>
          <w:kern w:val="0"/>
          <w:szCs w:val="21"/>
          <w:highlight w:val="none"/>
        </w:rPr>
        <w:t>企业发展管理办法》</w:t>
      </w:r>
      <w:r>
        <w:rPr>
          <w:rFonts w:hint="eastAsia" w:ascii="宋体" w:hAnsi="宋体" w:cs="宋体"/>
          <w:kern w:val="0"/>
          <w:szCs w:val="21"/>
          <w:highlight w:val="none"/>
        </w:rPr>
        <w:t>（</w:t>
      </w:r>
      <w:r>
        <w:rPr>
          <w:rFonts w:hint="eastAsia" w:ascii="宋体" w:hAnsi="宋体" w:cs="宋体"/>
          <w:spacing w:val="5"/>
          <w:kern w:val="0"/>
          <w:szCs w:val="21"/>
          <w:highlight w:val="none"/>
        </w:rPr>
        <w:t>财库</w:t>
      </w:r>
      <w:r>
        <w:rPr>
          <w:rFonts w:hint="eastAsia" w:ascii="宋体" w:hAnsi="宋体" w:cs="宋体"/>
          <w:kern w:val="0"/>
          <w:szCs w:val="21"/>
          <w:highlight w:val="none"/>
        </w:rPr>
        <w:t>﹝2020﹞46</w:t>
      </w:r>
      <w:r>
        <w:rPr>
          <w:rFonts w:hint="eastAsia" w:ascii="宋体" w:hAnsi="宋体" w:cs="宋体"/>
          <w:spacing w:val="-38"/>
          <w:kern w:val="0"/>
          <w:szCs w:val="21"/>
          <w:highlight w:val="none"/>
        </w:rPr>
        <w:t xml:space="preserve"> 号</w:t>
      </w:r>
      <w:r>
        <w:rPr>
          <w:rFonts w:hint="eastAsia" w:ascii="宋体" w:hAnsi="宋体" w:cs="宋体"/>
          <w:spacing w:val="5"/>
          <w:kern w:val="0"/>
          <w:szCs w:val="21"/>
          <w:highlight w:val="none"/>
        </w:rPr>
        <w:t>）</w:t>
      </w:r>
      <w:r>
        <w:rPr>
          <w:rFonts w:hint="eastAsia" w:ascii="宋体" w:hAnsi="宋体" w:cs="宋体"/>
          <w:kern w:val="0"/>
          <w:szCs w:val="21"/>
          <w:highlight w:val="none"/>
        </w:rPr>
        <w:t>的规定，本公司（联合体）</w:t>
      </w:r>
      <w:r>
        <w:rPr>
          <w:rFonts w:hint="eastAsia" w:ascii="宋体" w:hAnsi="宋体" w:cs="宋体"/>
          <w:spacing w:val="-8"/>
          <w:kern w:val="0"/>
          <w:szCs w:val="21"/>
          <w:highlight w:val="none"/>
        </w:rPr>
        <w:t>参加</w:t>
      </w:r>
      <w:r>
        <w:rPr>
          <w:rFonts w:hint="eastAsia" w:ascii="宋体" w:hAnsi="宋体" w:cs="宋体"/>
          <w:szCs w:val="21"/>
          <w:highlight w:val="none"/>
          <w:u w:val="single"/>
          <w:lang w:bidi="zh-CN"/>
        </w:rPr>
        <w:t xml:space="preserve">（单位名称） </w:t>
      </w:r>
      <w:r>
        <w:rPr>
          <w:rFonts w:hint="eastAsia" w:ascii="宋体" w:hAnsi="宋体" w:cs="宋体"/>
          <w:spacing w:val="-15"/>
          <w:kern w:val="0"/>
          <w:szCs w:val="21"/>
          <w:highlight w:val="none"/>
        </w:rPr>
        <w:t>的</w:t>
      </w:r>
      <w:r>
        <w:rPr>
          <w:rFonts w:hint="eastAsia" w:ascii="宋体" w:hAnsi="宋体" w:cs="宋体"/>
          <w:szCs w:val="21"/>
          <w:highlight w:val="none"/>
          <w:u w:val="single"/>
          <w:lang w:bidi="zh-CN"/>
        </w:rPr>
        <w:t>（项目名称）</w:t>
      </w:r>
      <w:r>
        <w:rPr>
          <w:rFonts w:hint="eastAsia" w:ascii="宋体" w:hAnsi="宋体" w:cs="宋体"/>
          <w:szCs w:val="21"/>
          <w:highlight w:val="none"/>
          <w:lang w:bidi="zh-CN"/>
        </w:rPr>
        <w:t>采购活动</w:t>
      </w:r>
      <w:r>
        <w:rPr>
          <w:rFonts w:hint="eastAsia" w:ascii="宋体" w:hAnsi="宋体" w:cs="宋体"/>
          <w:spacing w:val="-1"/>
          <w:kern w:val="0"/>
          <w:szCs w:val="21"/>
          <w:highlight w:val="none"/>
        </w:rPr>
        <w:t>，服务全部由符合政策要求的中小企业承接</w:t>
      </w:r>
      <w:r>
        <w:rPr>
          <w:rFonts w:hint="eastAsia" w:ascii="宋体" w:hAnsi="宋体" w:cs="宋体"/>
          <w:spacing w:val="5"/>
          <w:w w:val="95"/>
          <w:kern w:val="0"/>
          <w:szCs w:val="21"/>
          <w:highlight w:val="none"/>
        </w:rPr>
        <w:t>。</w:t>
      </w:r>
      <w:r>
        <w:rPr>
          <w:rFonts w:hint="eastAsia" w:ascii="宋体" w:hAnsi="宋体" w:cs="宋体"/>
          <w:spacing w:val="-1"/>
          <w:kern w:val="0"/>
          <w:szCs w:val="21"/>
          <w:highlight w:val="none"/>
        </w:rPr>
        <w:t>相关企业</w:t>
      </w:r>
      <w:r>
        <w:rPr>
          <w:rFonts w:hint="eastAsia" w:ascii="宋体" w:hAnsi="宋体" w:cs="宋体"/>
          <w:spacing w:val="7"/>
          <w:w w:val="95"/>
          <w:kern w:val="0"/>
          <w:szCs w:val="21"/>
          <w:highlight w:val="none"/>
        </w:rPr>
        <w:t>（</w:t>
      </w:r>
      <w:r>
        <w:rPr>
          <w:rFonts w:hint="eastAsia" w:ascii="宋体" w:hAnsi="宋体" w:cs="宋体"/>
          <w:spacing w:val="-1"/>
          <w:kern w:val="0"/>
          <w:szCs w:val="21"/>
          <w:highlight w:val="none"/>
        </w:rPr>
        <w:t>含联合</w:t>
      </w:r>
      <w:r>
        <w:rPr>
          <w:rFonts w:hint="eastAsia" w:ascii="宋体" w:hAnsi="宋体" w:cs="宋体"/>
          <w:kern w:val="0"/>
          <w:szCs w:val="21"/>
          <w:highlight w:val="none"/>
        </w:rPr>
        <w:t>体中的中小企业、签订分包意向协议的中小企业</w:t>
      </w:r>
      <w:r>
        <w:rPr>
          <w:rFonts w:hint="eastAsia" w:ascii="宋体" w:hAnsi="宋体" w:cs="宋体"/>
          <w:spacing w:val="-7"/>
          <w:kern w:val="0"/>
          <w:szCs w:val="21"/>
          <w:highlight w:val="none"/>
        </w:rPr>
        <w:t>）</w:t>
      </w:r>
      <w:r>
        <w:rPr>
          <w:rFonts w:hint="eastAsia" w:ascii="宋体" w:hAnsi="宋体" w:cs="宋体"/>
          <w:kern w:val="0"/>
          <w:szCs w:val="21"/>
          <w:highlight w:val="none"/>
        </w:rPr>
        <w:t>的具体情况如下：</w:t>
      </w:r>
    </w:p>
    <w:p w14:paraId="44FA2FFB">
      <w:pPr>
        <w:tabs>
          <w:tab w:val="left" w:pos="420"/>
          <w:tab w:val="left" w:pos="1243"/>
        </w:tabs>
        <w:spacing w:line="360" w:lineRule="auto"/>
        <w:ind w:firstLine="420" w:firstLineChars="200"/>
        <w:rPr>
          <w:rFonts w:ascii="宋体" w:hAnsi="宋体" w:cs="宋体"/>
          <w:szCs w:val="21"/>
          <w:highlight w:val="none"/>
        </w:rPr>
      </w:pPr>
      <w:r>
        <w:rPr>
          <w:rFonts w:hint="eastAsia" w:ascii="宋体" w:hAnsi="宋体" w:cs="宋体"/>
          <w:szCs w:val="21"/>
          <w:highlight w:val="none"/>
          <w:lang w:bidi="zh-CN"/>
        </w:rPr>
        <w:t>1.</w:t>
      </w:r>
      <w:r>
        <w:rPr>
          <w:rFonts w:hint="eastAsia" w:ascii="宋体" w:hAnsi="宋体" w:cs="宋体"/>
          <w:szCs w:val="21"/>
          <w:highlight w:val="none"/>
          <w:u w:val="single"/>
          <w:lang w:bidi="zh-CN"/>
        </w:rPr>
        <w:t>（标的名称）</w:t>
      </w:r>
      <w:r>
        <w:rPr>
          <w:rFonts w:hint="eastAsia" w:ascii="宋体" w:hAnsi="宋体" w:cs="宋体"/>
          <w:spacing w:val="-60"/>
          <w:w w:val="99"/>
          <w:szCs w:val="21"/>
          <w:highlight w:val="none"/>
        </w:rPr>
        <w:t>，</w:t>
      </w:r>
      <w:r>
        <w:rPr>
          <w:rFonts w:hint="eastAsia" w:ascii="宋体" w:hAnsi="宋体" w:cs="宋体"/>
          <w:szCs w:val="21"/>
          <w:highlight w:val="none"/>
          <w:lang w:bidi="zh-CN"/>
        </w:rPr>
        <w:t>属于</w:t>
      </w:r>
      <w:r>
        <w:rPr>
          <w:rFonts w:hint="eastAsia" w:ascii="宋体" w:hAnsi="宋体" w:cs="宋体"/>
          <w:b/>
          <w:bCs/>
          <w:szCs w:val="21"/>
          <w:highlight w:val="none"/>
          <w:u w:val="single"/>
          <w:lang w:bidi="zh-CN"/>
        </w:rPr>
        <w:t>（采购文件中明确的所属行业）</w:t>
      </w:r>
      <w:r>
        <w:rPr>
          <w:rFonts w:hint="eastAsia" w:ascii="宋体" w:hAnsi="宋体" w:cs="宋体"/>
          <w:szCs w:val="21"/>
          <w:highlight w:val="none"/>
          <w:u w:val="single"/>
          <w:lang w:bidi="zh-CN"/>
        </w:rPr>
        <w:t>；</w:t>
      </w:r>
    </w:p>
    <w:p w14:paraId="1B74B5BC">
      <w:pPr>
        <w:widowControl/>
        <w:tabs>
          <w:tab w:val="left" w:pos="420"/>
        </w:tabs>
        <w:spacing w:line="360" w:lineRule="auto"/>
        <w:jc w:val="left"/>
        <w:rPr>
          <w:rFonts w:ascii="宋体" w:hAnsi="宋体" w:cs="宋体"/>
          <w:szCs w:val="21"/>
          <w:highlight w:val="none"/>
        </w:rPr>
      </w:pPr>
      <w:r>
        <w:rPr>
          <w:rFonts w:hint="eastAsia" w:ascii="宋体" w:hAnsi="宋体" w:cs="宋体"/>
          <w:szCs w:val="21"/>
          <w:highlight w:val="none"/>
        </w:rPr>
        <w:t>承建（承接）企业为</w:t>
      </w:r>
      <w:r>
        <w:rPr>
          <w:rFonts w:hint="eastAsia" w:ascii="宋体" w:hAnsi="宋体" w:cs="宋体"/>
          <w:szCs w:val="21"/>
          <w:highlight w:val="none"/>
          <w:u w:val="single"/>
        </w:rPr>
        <w:t>（企业名称）</w:t>
      </w:r>
      <w:r>
        <w:rPr>
          <w:rFonts w:hint="eastAsia" w:ascii="宋体" w:hAnsi="宋体" w:cs="宋体"/>
          <w:szCs w:val="21"/>
          <w:highlight w:val="none"/>
        </w:rPr>
        <w:t>，从业人员人，营业收入为万元，资产总额为万元，属于</w:t>
      </w:r>
      <w:r>
        <w:rPr>
          <w:rFonts w:hint="eastAsia" w:ascii="宋体" w:hAnsi="宋体" w:cs="宋体"/>
          <w:szCs w:val="21"/>
          <w:highlight w:val="none"/>
          <w:u w:val="single"/>
          <w:lang w:bidi="zh-CN"/>
        </w:rPr>
        <w:t>（中型企业、小型企业、微型企业）；</w:t>
      </w:r>
    </w:p>
    <w:p w14:paraId="3A37B76C">
      <w:pPr>
        <w:tabs>
          <w:tab w:val="left" w:pos="420"/>
          <w:tab w:val="left" w:pos="1243"/>
        </w:tabs>
        <w:spacing w:line="360" w:lineRule="auto"/>
        <w:ind w:firstLine="420" w:firstLineChars="200"/>
        <w:rPr>
          <w:rFonts w:ascii="宋体" w:hAnsi="宋体" w:cs="宋体"/>
          <w:szCs w:val="21"/>
          <w:highlight w:val="none"/>
        </w:rPr>
      </w:pPr>
      <w:r>
        <w:rPr>
          <w:rFonts w:hint="eastAsia" w:ascii="宋体" w:hAnsi="宋体" w:cs="宋体"/>
          <w:szCs w:val="21"/>
          <w:highlight w:val="none"/>
          <w:lang w:bidi="zh-CN"/>
        </w:rPr>
        <w:t>2.</w:t>
      </w:r>
      <w:r>
        <w:rPr>
          <w:rFonts w:hint="eastAsia" w:ascii="宋体" w:hAnsi="宋体" w:cs="宋体"/>
          <w:szCs w:val="21"/>
          <w:highlight w:val="none"/>
          <w:u w:val="single"/>
          <w:lang w:bidi="zh-CN"/>
        </w:rPr>
        <w:t>（标的名称）</w:t>
      </w:r>
      <w:r>
        <w:rPr>
          <w:rFonts w:hint="eastAsia" w:ascii="宋体" w:hAnsi="宋体" w:cs="宋体"/>
          <w:spacing w:val="-60"/>
          <w:w w:val="99"/>
          <w:szCs w:val="21"/>
          <w:highlight w:val="none"/>
        </w:rPr>
        <w:t>，</w:t>
      </w:r>
      <w:r>
        <w:rPr>
          <w:rFonts w:hint="eastAsia" w:ascii="宋体" w:hAnsi="宋体" w:cs="宋体"/>
          <w:szCs w:val="21"/>
          <w:highlight w:val="none"/>
          <w:lang w:bidi="zh-CN"/>
        </w:rPr>
        <w:t>属于</w:t>
      </w:r>
      <w:r>
        <w:rPr>
          <w:rFonts w:hint="eastAsia" w:ascii="宋体" w:hAnsi="宋体" w:cs="宋体"/>
          <w:b/>
          <w:bCs/>
          <w:szCs w:val="21"/>
          <w:highlight w:val="none"/>
          <w:u w:val="single"/>
          <w:lang w:bidi="zh-CN"/>
        </w:rPr>
        <w:t>（采购文件中明确的所属行业）</w:t>
      </w:r>
      <w:r>
        <w:rPr>
          <w:rFonts w:hint="eastAsia" w:ascii="宋体" w:hAnsi="宋体" w:cs="宋体"/>
          <w:szCs w:val="21"/>
          <w:highlight w:val="none"/>
          <w:u w:val="single"/>
          <w:lang w:bidi="zh-CN"/>
        </w:rPr>
        <w:t>；</w:t>
      </w:r>
    </w:p>
    <w:p w14:paraId="5B5AE808">
      <w:pPr>
        <w:widowControl/>
        <w:tabs>
          <w:tab w:val="left" w:pos="420"/>
        </w:tabs>
        <w:spacing w:line="360" w:lineRule="auto"/>
        <w:jc w:val="left"/>
        <w:rPr>
          <w:rFonts w:ascii="宋体" w:hAnsi="宋体" w:cs="宋体"/>
          <w:szCs w:val="21"/>
          <w:highlight w:val="none"/>
        </w:rPr>
      </w:pPr>
      <w:r>
        <w:rPr>
          <w:rFonts w:hint="eastAsia" w:ascii="宋体" w:hAnsi="宋体" w:cs="宋体"/>
          <w:szCs w:val="21"/>
          <w:highlight w:val="none"/>
        </w:rPr>
        <w:t>承建（承接）企业为</w:t>
      </w:r>
      <w:r>
        <w:rPr>
          <w:rFonts w:hint="eastAsia" w:ascii="宋体" w:hAnsi="宋体" w:cs="宋体"/>
          <w:szCs w:val="21"/>
          <w:highlight w:val="none"/>
          <w:u w:val="single"/>
        </w:rPr>
        <w:t>（企业名称）</w:t>
      </w:r>
      <w:r>
        <w:rPr>
          <w:rFonts w:hint="eastAsia" w:ascii="宋体" w:hAnsi="宋体" w:cs="宋体"/>
          <w:szCs w:val="21"/>
          <w:highlight w:val="none"/>
        </w:rPr>
        <w:t>，从业人员人，营业收入为万元，资产总额为万元，</w:t>
      </w:r>
      <w:r>
        <w:rPr>
          <w:rFonts w:hint="eastAsia" w:ascii="宋体" w:hAnsi="宋体" w:cs="宋体"/>
          <w:szCs w:val="21"/>
          <w:highlight w:val="none"/>
          <w:lang w:bidi="zh-CN"/>
        </w:rPr>
        <w:t>属于</w:t>
      </w:r>
      <w:r>
        <w:rPr>
          <w:rFonts w:hint="eastAsia" w:ascii="宋体" w:hAnsi="宋体" w:cs="宋体"/>
          <w:szCs w:val="21"/>
          <w:highlight w:val="none"/>
          <w:u w:val="single"/>
          <w:lang w:bidi="zh-CN"/>
        </w:rPr>
        <w:t>（中型企业、小型企业、微型企业）；</w:t>
      </w:r>
    </w:p>
    <w:p w14:paraId="3CE7198E">
      <w:pPr>
        <w:tabs>
          <w:tab w:val="left" w:pos="1806"/>
          <w:tab w:val="left" w:pos="5005"/>
          <w:tab w:val="left" w:pos="7227"/>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w:t>
      </w:r>
    </w:p>
    <w:p w14:paraId="0446757A">
      <w:pPr>
        <w:tabs>
          <w:tab w:val="left" w:pos="420"/>
        </w:tabs>
        <w:spacing w:line="360" w:lineRule="auto"/>
        <w:ind w:firstLine="408" w:firstLineChars="200"/>
        <w:rPr>
          <w:rFonts w:ascii="宋体" w:hAnsi="宋体" w:cs="宋体"/>
          <w:kern w:val="0"/>
          <w:szCs w:val="21"/>
          <w:highlight w:val="none"/>
        </w:rPr>
      </w:pPr>
      <w:r>
        <w:rPr>
          <w:rFonts w:hint="eastAsia" w:ascii="宋体" w:hAnsi="宋体" w:cs="宋体"/>
          <w:spacing w:val="-3"/>
          <w:kern w:val="0"/>
          <w:szCs w:val="21"/>
          <w:highlight w:val="none"/>
        </w:rPr>
        <w:t>以上企业，不属于大企业的分支机构，不存在控股股东</w:t>
      </w:r>
      <w:r>
        <w:rPr>
          <w:rFonts w:hint="eastAsia" w:ascii="宋体" w:hAnsi="宋体" w:cs="宋体"/>
          <w:spacing w:val="-5"/>
          <w:kern w:val="0"/>
          <w:szCs w:val="21"/>
          <w:highlight w:val="none"/>
        </w:rPr>
        <w:t>为大企业的情形，也不存在与大企业的负责人为同一人的情形。</w:t>
      </w:r>
    </w:p>
    <w:p w14:paraId="40682B1D">
      <w:pPr>
        <w:tabs>
          <w:tab w:val="left" w:pos="42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本企业对上述声明内容的真实性负责。如有虚假，将依法承担相应责任。</w:t>
      </w:r>
    </w:p>
    <w:p w14:paraId="44077216">
      <w:pPr>
        <w:tabs>
          <w:tab w:val="left" w:pos="420"/>
        </w:tabs>
        <w:jc w:val="left"/>
        <w:rPr>
          <w:rFonts w:ascii="宋体" w:hAnsi="宋体" w:cs="宋体"/>
          <w:highlight w:val="none"/>
        </w:rPr>
      </w:pPr>
    </w:p>
    <w:p w14:paraId="251C1B7F">
      <w:pPr>
        <w:tabs>
          <w:tab w:val="left" w:pos="420"/>
        </w:tabs>
        <w:spacing w:line="360" w:lineRule="auto"/>
        <w:ind w:firstLine="2520" w:firstLineChars="1200"/>
        <w:rPr>
          <w:rFonts w:ascii="宋体" w:hAnsi="宋体" w:cs="宋体"/>
          <w:szCs w:val="21"/>
          <w:highlight w:val="none"/>
        </w:rPr>
      </w:pPr>
      <w:r>
        <w:rPr>
          <w:rFonts w:hint="eastAsia" w:ascii="宋体" w:hAnsi="宋体" w:cs="宋体"/>
          <w:szCs w:val="21"/>
          <w:highlight w:val="none"/>
        </w:rPr>
        <w:t>单位名称：（盖章）</w:t>
      </w:r>
    </w:p>
    <w:p w14:paraId="1E114C8D">
      <w:pPr>
        <w:widowControl/>
        <w:tabs>
          <w:tab w:val="left" w:pos="420"/>
        </w:tabs>
        <w:spacing w:line="360" w:lineRule="auto"/>
        <w:ind w:left="880" w:leftChars="419" w:firstLine="1627" w:firstLineChars="775"/>
        <w:rPr>
          <w:rFonts w:ascii="宋体" w:hAnsi="宋体" w:cs="宋体"/>
          <w:b/>
          <w:szCs w:val="21"/>
          <w:highlight w:val="none"/>
        </w:rPr>
      </w:pPr>
      <w:r>
        <w:rPr>
          <w:rFonts w:hint="eastAsia" w:ascii="宋体" w:hAnsi="宋体" w:cs="宋体"/>
          <w:kern w:val="0"/>
          <w:szCs w:val="21"/>
          <w:highlight w:val="none"/>
        </w:rPr>
        <w:t xml:space="preserve">日   期：年月日 </w:t>
      </w:r>
    </w:p>
    <w:p w14:paraId="1F8A739B">
      <w:pPr>
        <w:tabs>
          <w:tab w:val="left" w:pos="420"/>
        </w:tabs>
        <w:spacing w:line="360" w:lineRule="auto"/>
        <w:jc w:val="left"/>
        <w:rPr>
          <w:rFonts w:ascii="宋体" w:hAnsi="宋体" w:cs="宋体"/>
          <w:szCs w:val="21"/>
          <w:highlight w:val="none"/>
        </w:rPr>
      </w:pPr>
    </w:p>
    <w:p w14:paraId="21DE91F3">
      <w:pPr>
        <w:tabs>
          <w:tab w:val="left" w:pos="420"/>
        </w:tabs>
        <w:spacing w:line="360" w:lineRule="auto"/>
        <w:jc w:val="left"/>
        <w:rPr>
          <w:rFonts w:ascii="宋体" w:hAnsi="宋体" w:cs="宋体"/>
          <w:szCs w:val="21"/>
          <w:highlight w:val="none"/>
        </w:rPr>
      </w:pPr>
    </w:p>
    <w:p w14:paraId="4046EFF7">
      <w:pPr>
        <w:tabs>
          <w:tab w:val="left" w:pos="420"/>
        </w:tabs>
        <w:spacing w:line="360" w:lineRule="auto"/>
        <w:jc w:val="left"/>
        <w:rPr>
          <w:rFonts w:ascii="宋体" w:hAnsi="宋体" w:cs="宋体"/>
          <w:szCs w:val="21"/>
          <w:highlight w:val="none"/>
        </w:rPr>
      </w:pPr>
    </w:p>
    <w:p w14:paraId="093B2490">
      <w:pPr>
        <w:tabs>
          <w:tab w:val="left" w:pos="420"/>
        </w:tabs>
        <w:spacing w:line="360" w:lineRule="auto"/>
        <w:ind w:left="40" w:firstLine="420" w:firstLineChars="200"/>
        <w:jc w:val="left"/>
        <w:rPr>
          <w:rFonts w:ascii="宋体" w:hAnsi="宋体" w:cs="宋体"/>
          <w:highlight w:val="none"/>
        </w:rPr>
      </w:pPr>
      <w:r>
        <w:rPr>
          <w:rFonts w:hint="eastAsia" w:ascii="宋体" w:hAnsi="宋体" w:cs="宋体"/>
          <w:szCs w:val="21"/>
          <w:highlight w:val="none"/>
        </w:rPr>
        <w:t>注：1、关于本声明函请详细阅读关于印发《政府采购促进中小企业发展管理办法》的通知（财库〔2020〕46号）文件。</w:t>
      </w:r>
    </w:p>
    <w:p w14:paraId="77134309">
      <w:pPr>
        <w:tabs>
          <w:tab w:val="left" w:pos="420"/>
        </w:tabs>
        <w:adjustRightInd w:val="0"/>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（提醒：中小企业对其声明内容的真实性负责，声明函内容不实的，属于提供虚假材料谋取中标、成交，依照《中华人民共和国政府采购法》等国家有关规定追究相应责任。）</w:t>
      </w:r>
    </w:p>
    <w:p w14:paraId="45895086">
      <w:pPr>
        <w:pStyle w:val="45"/>
        <w:tabs>
          <w:tab w:val="left" w:pos="743"/>
        </w:tabs>
        <w:spacing w:before="5"/>
        <w:ind w:left="742" w:firstLine="480"/>
        <w:jc w:val="left"/>
        <w:rPr>
          <w:sz w:val="24"/>
          <w:highlight w:val="none"/>
        </w:rPr>
      </w:pPr>
    </w:p>
    <w:p w14:paraId="35200D30">
      <w:pPr>
        <w:pStyle w:val="6"/>
        <w:rPr>
          <w:color w:val="auto"/>
          <w:highlight w:val="none"/>
        </w:rPr>
      </w:pPr>
      <w:r>
        <w:rPr>
          <w:color w:val="auto"/>
          <w:highlight w:val="none"/>
        </w:rPr>
        <w:tab/>
      </w:r>
    </w:p>
    <w:p w14:paraId="700A047D">
      <w:pPr>
        <w:rPr>
          <w:highlight w:val="none"/>
        </w:rPr>
        <w:sectPr>
          <w:type w:val="continuous"/>
          <w:pgSz w:w="11920" w:h="16850"/>
          <w:pgMar w:top="1600" w:right="1000" w:bottom="280" w:left="1260" w:header="720" w:footer="720" w:gutter="0"/>
          <w:cols w:space="720" w:num="1"/>
        </w:sectPr>
      </w:pPr>
    </w:p>
    <w:p w14:paraId="2F184158">
      <w:pPr>
        <w:spacing w:before="38"/>
        <w:ind w:left="670" w:right="884"/>
        <w:jc w:val="center"/>
        <w:rPr>
          <w:b/>
          <w:sz w:val="24"/>
          <w:highlight w:val="none"/>
        </w:rPr>
      </w:pPr>
      <w:r>
        <w:rPr>
          <w:b/>
          <w:sz w:val="24"/>
          <w:highlight w:val="none"/>
        </w:rPr>
        <w:t>（二）残疾人福利性单位声明函</w:t>
      </w:r>
    </w:p>
    <w:p w14:paraId="3055C4DE">
      <w:pPr>
        <w:pStyle w:val="10"/>
        <w:ind w:firstLine="347"/>
        <w:rPr>
          <w:b/>
          <w:sz w:val="20"/>
          <w:highlight w:val="none"/>
        </w:rPr>
      </w:pPr>
    </w:p>
    <w:p w14:paraId="05FCC75E">
      <w:pPr>
        <w:pStyle w:val="10"/>
        <w:spacing w:before="9"/>
        <w:ind w:firstLine="399"/>
        <w:rPr>
          <w:b/>
          <w:sz w:val="23"/>
          <w:highlight w:val="none"/>
        </w:rPr>
      </w:pPr>
    </w:p>
    <w:p w14:paraId="4011E07C">
      <w:pPr>
        <w:pStyle w:val="10"/>
        <w:tabs>
          <w:tab w:val="left" w:pos="5695"/>
        </w:tabs>
        <w:spacing w:before="67" w:line="364" w:lineRule="auto"/>
        <w:ind w:right="471" w:firstLine="363"/>
        <w:rPr>
          <w:highlight w:val="none"/>
        </w:rPr>
      </w:pPr>
      <w:r>
        <w:rPr>
          <w:highlight w:val="none"/>
        </w:rPr>
        <w:t>本单位郑重声明</w:t>
      </w:r>
      <w:r>
        <w:rPr>
          <w:spacing w:val="-45"/>
          <w:highlight w:val="none"/>
        </w:rPr>
        <w:t>，</w:t>
      </w:r>
      <w:r>
        <w:rPr>
          <w:highlight w:val="none"/>
        </w:rPr>
        <w:t>根</w:t>
      </w:r>
      <w:r>
        <w:rPr>
          <w:spacing w:val="-44"/>
          <w:highlight w:val="none"/>
        </w:rPr>
        <w:t>据</w:t>
      </w:r>
      <w:r>
        <w:rPr>
          <w:highlight w:val="none"/>
        </w:rPr>
        <w:t>《财政部民政部中国残疾人联合会关于促进残</w:t>
      </w:r>
      <w:r>
        <w:rPr>
          <w:spacing w:val="3"/>
          <w:highlight w:val="none"/>
        </w:rPr>
        <w:t>疾</w:t>
      </w:r>
      <w:r>
        <w:rPr>
          <w:spacing w:val="-15"/>
          <w:highlight w:val="none"/>
        </w:rPr>
        <w:t>人</w:t>
      </w:r>
      <w:r>
        <w:rPr>
          <w:highlight w:val="none"/>
        </w:rPr>
        <w:t>就业政府</w:t>
      </w:r>
      <w:r>
        <w:rPr>
          <w:spacing w:val="7"/>
          <w:highlight w:val="none"/>
        </w:rPr>
        <w:t>采</w:t>
      </w:r>
      <w:r>
        <w:rPr>
          <w:highlight w:val="none"/>
        </w:rPr>
        <w:t>购政策的通知》</w:t>
      </w:r>
      <w:r>
        <w:rPr>
          <w:spacing w:val="7"/>
          <w:highlight w:val="none"/>
        </w:rPr>
        <w:t>（</w:t>
      </w:r>
      <w:r>
        <w:rPr>
          <w:highlight w:val="none"/>
        </w:rPr>
        <w:t>财库</w:t>
      </w:r>
      <w:r>
        <w:rPr>
          <w:spacing w:val="3"/>
          <w:highlight w:val="none"/>
        </w:rPr>
        <w:t>〔</w:t>
      </w:r>
      <w:r>
        <w:rPr>
          <w:highlight w:val="none"/>
        </w:rPr>
        <w:t>2017〕141号）的规</w:t>
      </w:r>
      <w:r>
        <w:rPr>
          <w:spacing w:val="7"/>
          <w:highlight w:val="none"/>
        </w:rPr>
        <w:t>定</w:t>
      </w:r>
      <w:r>
        <w:rPr>
          <w:highlight w:val="none"/>
        </w:rPr>
        <w:t>，本单位为符合条件的残疾人福利性单位，且本单位参加</w:t>
      </w:r>
    </w:p>
    <w:p w14:paraId="46317780">
      <w:pPr>
        <w:pStyle w:val="10"/>
        <w:tabs>
          <w:tab w:val="left" w:pos="5695"/>
        </w:tabs>
        <w:spacing w:before="67" w:line="364" w:lineRule="auto"/>
        <w:ind w:right="471" w:firstLine="363"/>
        <w:rPr>
          <w:highlight w:val="none"/>
        </w:rPr>
      </w:pPr>
      <w:r>
        <w:rPr>
          <w:highlight w:val="none"/>
        </w:rPr>
        <w:t>单位的</w:t>
      </w:r>
      <w:r>
        <w:rPr>
          <w:spacing w:val="21"/>
          <w:highlight w:val="none"/>
        </w:rPr>
        <w:t>项目</w:t>
      </w:r>
      <w:r>
        <w:rPr>
          <w:spacing w:val="18"/>
          <w:highlight w:val="none"/>
        </w:rPr>
        <w:t>采</w:t>
      </w:r>
      <w:r>
        <w:rPr>
          <w:spacing w:val="21"/>
          <w:highlight w:val="none"/>
        </w:rPr>
        <w:t>购</w:t>
      </w:r>
      <w:r>
        <w:rPr>
          <w:spacing w:val="18"/>
          <w:highlight w:val="none"/>
        </w:rPr>
        <w:t>活</w:t>
      </w:r>
      <w:r>
        <w:rPr>
          <w:spacing w:val="21"/>
          <w:highlight w:val="none"/>
        </w:rPr>
        <w:t>动</w:t>
      </w:r>
      <w:r>
        <w:rPr>
          <w:spacing w:val="23"/>
          <w:highlight w:val="none"/>
        </w:rPr>
        <w:t>提</w:t>
      </w:r>
      <w:r>
        <w:rPr>
          <w:highlight w:val="none"/>
        </w:rPr>
        <w:t>供</w:t>
      </w:r>
      <w:r>
        <w:rPr>
          <w:spacing w:val="18"/>
          <w:highlight w:val="none"/>
        </w:rPr>
        <w:t>本</w:t>
      </w:r>
      <w:r>
        <w:rPr>
          <w:spacing w:val="21"/>
          <w:highlight w:val="none"/>
        </w:rPr>
        <w:t>单</w:t>
      </w:r>
      <w:r>
        <w:rPr>
          <w:highlight w:val="none"/>
        </w:rPr>
        <w:t>位</w:t>
      </w:r>
      <w:r>
        <w:rPr>
          <w:spacing w:val="9"/>
          <w:highlight w:val="none"/>
        </w:rPr>
        <w:t>制造的货物（由本</w:t>
      </w:r>
      <w:r>
        <w:rPr>
          <w:spacing w:val="7"/>
          <w:highlight w:val="none"/>
        </w:rPr>
        <w:t>单</w:t>
      </w:r>
      <w:r>
        <w:rPr>
          <w:spacing w:val="9"/>
          <w:highlight w:val="none"/>
        </w:rPr>
        <w:t>位承担工</w:t>
      </w:r>
      <w:r>
        <w:rPr>
          <w:spacing w:val="10"/>
          <w:highlight w:val="none"/>
        </w:rPr>
        <w:t>程</w:t>
      </w:r>
      <w:r>
        <w:rPr>
          <w:spacing w:val="9"/>
          <w:highlight w:val="none"/>
        </w:rPr>
        <w:t>/提供服</w:t>
      </w:r>
      <w:r>
        <w:rPr>
          <w:spacing w:val="6"/>
          <w:highlight w:val="none"/>
        </w:rPr>
        <w:t>务</w:t>
      </w:r>
      <w:r>
        <w:rPr>
          <w:spacing w:val="9"/>
          <w:highlight w:val="none"/>
        </w:rPr>
        <w:t>），或者提供其他</w:t>
      </w:r>
      <w:r>
        <w:rPr>
          <w:spacing w:val="6"/>
          <w:highlight w:val="none"/>
        </w:rPr>
        <w:t>残</w:t>
      </w:r>
      <w:r>
        <w:rPr>
          <w:spacing w:val="9"/>
          <w:highlight w:val="none"/>
        </w:rPr>
        <w:t>疾人</w:t>
      </w:r>
      <w:r>
        <w:rPr>
          <w:spacing w:val="14"/>
          <w:highlight w:val="none"/>
        </w:rPr>
        <w:t>福</w:t>
      </w:r>
      <w:r>
        <w:rPr>
          <w:spacing w:val="-3"/>
          <w:highlight w:val="none"/>
        </w:rPr>
        <w:t>利</w:t>
      </w:r>
      <w:r>
        <w:rPr>
          <w:spacing w:val="9"/>
          <w:highlight w:val="none"/>
        </w:rPr>
        <w:t>性单位制</w:t>
      </w:r>
      <w:r>
        <w:rPr>
          <w:spacing w:val="6"/>
          <w:highlight w:val="none"/>
        </w:rPr>
        <w:t>造</w:t>
      </w:r>
      <w:r>
        <w:rPr>
          <w:spacing w:val="9"/>
          <w:highlight w:val="none"/>
        </w:rPr>
        <w:t>的货</w:t>
      </w:r>
      <w:r>
        <w:rPr>
          <w:highlight w:val="none"/>
        </w:rPr>
        <w:t xml:space="preserve">物（不包括使用非残疾人福利性单位注册商标的货物）。 </w:t>
      </w:r>
    </w:p>
    <w:p w14:paraId="093192F2">
      <w:pPr>
        <w:pStyle w:val="10"/>
        <w:spacing w:before="158"/>
        <w:ind w:left="223" w:firstLine="363"/>
        <w:rPr>
          <w:highlight w:val="none"/>
        </w:rPr>
      </w:pPr>
      <w:r>
        <w:rPr>
          <w:highlight w:val="none"/>
        </w:rPr>
        <w:t xml:space="preserve">本单位对上述声明的真实性负责。如有虚假，将依法承担相应责任。 </w:t>
      </w:r>
    </w:p>
    <w:p w14:paraId="75635B33">
      <w:pPr>
        <w:pStyle w:val="10"/>
        <w:ind w:firstLine="346"/>
        <w:rPr>
          <w:sz w:val="20"/>
          <w:highlight w:val="none"/>
        </w:rPr>
      </w:pPr>
    </w:p>
    <w:p w14:paraId="2B12389A">
      <w:pPr>
        <w:pStyle w:val="10"/>
        <w:ind w:firstLine="346"/>
        <w:rPr>
          <w:sz w:val="20"/>
          <w:highlight w:val="none"/>
        </w:rPr>
      </w:pPr>
    </w:p>
    <w:p w14:paraId="175B6EAC">
      <w:pPr>
        <w:pStyle w:val="10"/>
        <w:ind w:firstLine="346"/>
        <w:rPr>
          <w:sz w:val="20"/>
          <w:highlight w:val="none"/>
        </w:rPr>
      </w:pPr>
    </w:p>
    <w:p w14:paraId="73963FC6">
      <w:pPr>
        <w:pStyle w:val="10"/>
        <w:spacing w:before="3"/>
        <w:ind w:firstLine="346"/>
        <w:rPr>
          <w:sz w:val="20"/>
          <w:highlight w:val="none"/>
        </w:rPr>
      </w:pPr>
    </w:p>
    <w:p w14:paraId="4260F0E0">
      <w:pPr>
        <w:pStyle w:val="10"/>
        <w:tabs>
          <w:tab w:val="left" w:pos="7073"/>
          <w:tab w:val="left" w:pos="7673"/>
          <w:tab w:val="left" w:pos="8108"/>
        </w:tabs>
        <w:spacing w:before="66" w:line="362" w:lineRule="auto"/>
        <w:ind w:left="223" w:right="1277" w:firstLine="363"/>
        <w:rPr>
          <w:highlight w:val="none"/>
        </w:rPr>
      </w:pPr>
      <w:r>
        <w:rPr>
          <w:highlight w:val="none"/>
        </w:rPr>
        <w:t>投标人：</w:t>
      </w:r>
      <w:r>
        <w:rPr>
          <w:highlight w:val="none"/>
          <w:u w:val="single"/>
        </w:rPr>
        <w:tab/>
      </w:r>
      <w:r>
        <w:rPr>
          <w:highlight w:val="none"/>
          <w:u w:val="single"/>
        </w:rPr>
        <w:tab/>
      </w:r>
      <w:r>
        <w:rPr>
          <w:highlight w:val="none"/>
        </w:rPr>
        <w:t>（盖章</w:t>
      </w:r>
      <w:r>
        <w:rPr>
          <w:spacing w:val="-17"/>
          <w:highlight w:val="none"/>
        </w:rPr>
        <w:t xml:space="preserve">） </w:t>
      </w:r>
      <w:r>
        <w:rPr>
          <w:highlight w:val="none"/>
        </w:rPr>
        <w:t>日期：年</w:t>
      </w:r>
      <w:r>
        <w:rPr>
          <w:highlight w:val="none"/>
        </w:rPr>
        <w:tab/>
      </w:r>
      <w:r>
        <w:rPr>
          <w:highlight w:val="none"/>
        </w:rPr>
        <w:t xml:space="preserve">月日 </w:t>
      </w:r>
    </w:p>
    <w:p w14:paraId="1A5BAA03">
      <w:pPr>
        <w:pStyle w:val="10"/>
        <w:ind w:firstLine="346"/>
        <w:rPr>
          <w:sz w:val="20"/>
          <w:highlight w:val="none"/>
        </w:rPr>
      </w:pPr>
    </w:p>
    <w:p w14:paraId="5141B6C4">
      <w:pPr>
        <w:pStyle w:val="10"/>
        <w:ind w:firstLine="346"/>
        <w:rPr>
          <w:sz w:val="20"/>
          <w:highlight w:val="none"/>
        </w:rPr>
      </w:pPr>
    </w:p>
    <w:p w14:paraId="10A04014">
      <w:pPr>
        <w:pStyle w:val="10"/>
        <w:spacing w:before="1"/>
        <w:ind w:firstLine="484"/>
        <w:rPr>
          <w:sz w:val="28"/>
          <w:highlight w:val="none"/>
        </w:rPr>
      </w:pPr>
    </w:p>
    <w:p w14:paraId="3E6691E7">
      <w:pPr>
        <w:tabs>
          <w:tab w:val="left" w:pos="420"/>
        </w:tabs>
        <w:spacing w:line="360" w:lineRule="auto"/>
        <w:jc w:val="left"/>
        <w:rPr>
          <w:rFonts w:ascii="宋体" w:hAnsi="宋体" w:cs="宋体"/>
          <w:szCs w:val="21"/>
          <w:highlight w:val="none"/>
        </w:rPr>
      </w:pPr>
      <w:r>
        <w:rPr>
          <w:rFonts w:hint="eastAsia" w:ascii="宋体" w:hAnsi="宋体" w:cs="宋体"/>
          <w:szCs w:val="21"/>
          <w:highlight w:val="none"/>
        </w:rPr>
        <w:t>注：</w:t>
      </w:r>
    </w:p>
    <w:p w14:paraId="06EC4FFE">
      <w:pPr>
        <w:tabs>
          <w:tab w:val="left" w:pos="42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1、符合条件的残疾人福利性单位在参加政府采购活动时，应当提供此声明函，并对声明的真实性负责。未提供的，视为放弃享受小微企业价格扣除优惠政策。</w:t>
      </w:r>
    </w:p>
    <w:p w14:paraId="5FFF2D06">
      <w:pPr>
        <w:tabs>
          <w:tab w:val="left" w:pos="42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2、中标、成交供应商为残疾人福利性单位的，采购人或者其委托的采购代理机构将随中标、成交结果同时公告其《残疾人福利性单位声明函》，接受社会监督。</w:t>
      </w:r>
    </w:p>
    <w:p w14:paraId="5D72E83B">
      <w:pPr>
        <w:pStyle w:val="10"/>
        <w:spacing w:before="67"/>
        <w:ind w:firstLine="363"/>
        <w:rPr>
          <w:highlight w:val="none"/>
        </w:rPr>
      </w:pPr>
      <w:r>
        <w:rPr>
          <w:rFonts w:hint="eastAsia" w:ascii="宋体" w:hAnsi="宋体" w:cs="宋体"/>
          <w:szCs w:val="21"/>
          <w:highlight w:val="none"/>
        </w:rPr>
        <w:t>3、供应商提供的《残疾人福利性单位声明函》与事实不符的，依照《政府采购法》第七十七条第一款的规定追究法律责任。</w:t>
      </w:r>
    </w:p>
    <w:p w14:paraId="5E2EB388">
      <w:pPr>
        <w:pStyle w:val="6"/>
        <w:rPr>
          <w:color w:val="auto"/>
          <w:highlight w:val="none"/>
        </w:rPr>
      </w:pPr>
      <w:r>
        <w:rPr>
          <w:color w:val="auto"/>
          <w:highlight w:val="none"/>
        </w:rPr>
        <w:tab/>
      </w:r>
    </w:p>
    <w:p w14:paraId="39DBE4DC">
      <w:pPr>
        <w:rPr>
          <w:highlight w:val="none"/>
        </w:rPr>
        <w:sectPr>
          <w:pgSz w:w="11920" w:h="16850"/>
          <w:pgMar w:top="1420" w:right="1000" w:bottom="1240" w:left="1260" w:header="0" w:footer="1043" w:gutter="0"/>
          <w:cols w:space="720" w:num="1"/>
        </w:sectPr>
      </w:pPr>
    </w:p>
    <w:p w14:paraId="7C500F21">
      <w:pPr>
        <w:spacing w:before="38"/>
        <w:ind w:left="670" w:right="884"/>
        <w:jc w:val="center"/>
        <w:rPr>
          <w:b/>
          <w:sz w:val="24"/>
          <w:highlight w:val="none"/>
        </w:rPr>
      </w:pPr>
      <w:r>
        <w:rPr>
          <w:b/>
          <w:sz w:val="24"/>
          <w:highlight w:val="none"/>
        </w:rPr>
        <w:t>（三）监狱企业证明材料</w:t>
      </w:r>
    </w:p>
    <w:p w14:paraId="5B248805">
      <w:pPr>
        <w:pStyle w:val="10"/>
        <w:ind w:firstLine="347"/>
        <w:rPr>
          <w:b/>
          <w:sz w:val="20"/>
          <w:highlight w:val="none"/>
        </w:rPr>
      </w:pPr>
    </w:p>
    <w:p w14:paraId="1EE7C390">
      <w:pPr>
        <w:widowControl/>
        <w:tabs>
          <w:tab w:val="left" w:pos="420"/>
        </w:tabs>
        <w:ind w:firstLine="420" w:firstLineChars="200"/>
        <w:jc w:val="left"/>
        <w:rPr>
          <w:rFonts w:ascii="宋体" w:hAnsi="宋体" w:cs="宋体"/>
          <w:kern w:val="0"/>
          <w:szCs w:val="21"/>
          <w:highlight w:val="none"/>
        </w:rPr>
      </w:pPr>
      <w:r>
        <w:rPr>
          <w:rFonts w:hint="eastAsia" w:ascii="宋体" w:hAnsi="宋体" w:cs="宋体"/>
          <w:kern w:val="0"/>
          <w:szCs w:val="21"/>
          <w:highlight w:val="none"/>
        </w:rPr>
        <w:t>注：</w:t>
      </w:r>
    </w:p>
    <w:p w14:paraId="3B303AA3">
      <w:pPr>
        <w:tabs>
          <w:tab w:val="left" w:pos="420"/>
        </w:tabs>
        <w:spacing w:line="360" w:lineRule="auto"/>
        <w:ind w:firstLine="420" w:firstLineChars="200"/>
        <w:jc w:val="left"/>
        <w:rPr>
          <w:rFonts w:ascii="宋体" w:hAnsi="宋体" w:cs="宋体"/>
          <w:highlight w:val="none"/>
        </w:rPr>
      </w:pPr>
      <w:r>
        <w:rPr>
          <w:rFonts w:hint="eastAsia" w:ascii="宋体" w:hAnsi="宋体" w:cs="宋体"/>
          <w:highlight w:val="none"/>
        </w:rPr>
        <w:t>1、监狱企业参加本政府采购活动时，须提供由省级以上监狱管理局、戒毒管理局（含新疆生产建设兵团）出具的属于监狱企业的证明文件。</w:t>
      </w:r>
    </w:p>
    <w:p w14:paraId="5850BEC5">
      <w:pPr>
        <w:tabs>
          <w:tab w:val="left" w:pos="420"/>
        </w:tabs>
        <w:spacing w:line="360" w:lineRule="auto"/>
        <w:ind w:firstLine="420" w:firstLineChars="200"/>
        <w:jc w:val="left"/>
        <w:rPr>
          <w:rFonts w:ascii="宋体" w:hAnsi="宋体" w:cs="宋体"/>
          <w:szCs w:val="21"/>
          <w:highlight w:val="none"/>
        </w:rPr>
      </w:pPr>
      <w:r>
        <w:rPr>
          <w:rFonts w:hint="eastAsia" w:ascii="宋体" w:hAnsi="宋体" w:cs="宋体"/>
          <w:highlight w:val="none"/>
        </w:rPr>
        <w:t>2、监狱企业视同小型、微型企业，未提供监狱企业证明文件的，视为放弃享受小微企业价格扣除优惠政策。</w:t>
      </w:r>
    </w:p>
    <w:p w14:paraId="4BD45BE6">
      <w:pPr>
        <w:pStyle w:val="10"/>
        <w:spacing w:before="160"/>
        <w:ind w:right="580" w:rightChars="276" w:firstLine="363"/>
        <w:rPr>
          <w:highlight w:val="none"/>
        </w:rPr>
      </w:pPr>
    </w:p>
    <w:p w14:paraId="2E11A82E">
      <w:pPr>
        <w:pStyle w:val="6"/>
        <w:rPr>
          <w:color w:val="auto"/>
          <w:highlight w:val="none"/>
        </w:rPr>
      </w:pPr>
      <w:r>
        <w:rPr>
          <w:color w:val="auto"/>
          <w:highlight w:val="none"/>
        </w:rPr>
        <w:tab/>
      </w:r>
    </w:p>
    <w:p w14:paraId="3149A01A">
      <w:pPr>
        <w:rPr>
          <w:highlight w:val="none"/>
        </w:rPr>
        <w:sectPr>
          <w:pgSz w:w="11920" w:h="16850"/>
          <w:pgMar w:top="1420" w:right="1000" w:bottom="1240" w:left="1260" w:header="0" w:footer="1043" w:gutter="0"/>
          <w:cols w:space="720" w:num="1"/>
        </w:sectPr>
      </w:pPr>
    </w:p>
    <w:p w14:paraId="1F53ECC9">
      <w:pPr>
        <w:tabs>
          <w:tab w:val="left" w:pos="3021"/>
        </w:tabs>
        <w:spacing w:before="160"/>
        <w:ind w:left="141"/>
        <w:jc w:val="left"/>
        <w:rPr>
          <w:b/>
          <w:sz w:val="24"/>
          <w:highlight w:val="none"/>
        </w:rPr>
      </w:pPr>
    </w:p>
    <w:p w14:paraId="2A894C8D">
      <w:pPr>
        <w:ind w:firstLine="1687" w:firstLineChars="700"/>
        <w:rPr>
          <w:highlight w:val="none"/>
        </w:rPr>
      </w:pPr>
      <w:r>
        <w:rPr>
          <w:b/>
          <w:sz w:val="24"/>
          <w:highlight w:val="none"/>
        </w:rPr>
        <w:t>（</w:t>
      </w:r>
      <w:r>
        <w:rPr>
          <w:rFonts w:hint="eastAsia"/>
          <w:b/>
          <w:sz w:val="24"/>
          <w:highlight w:val="none"/>
        </w:rPr>
        <w:t>四</w:t>
      </w:r>
      <w:r>
        <w:rPr>
          <w:b/>
          <w:sz w:val="24"/>
          <w:highlight w:val="none"/>
        </w:rPr>
        <w:t>）供应商认为应附的其他材料</w:t>
      </w:r>
    </w:p>
    <w:p w14:paraId="36F10017">
      <w:pPr>
        <w:rPr>
          <w:highlight w:val="none"/>
        </w:rPr>
      </w:pPr>
    </w:p>
    <w:p w14:paraId="31DB0F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45A3">
    <w:pPr>
      <w:spacing w:line="194" w:lineRule="auto"/>
      <w:ind w:left="4293"/>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8D7C">
    <w:pPr>
      <w:pStyle w:val="17"/>
      <w:rPr>
        <w:rFonts w:ascii="宋体" w:hAnsi="宋体"/>
        <w:sz w:val="28"/>
        <w:szCs w:val="28"/>
      </w:rPr>
    </w:pPr>
    <w:r>
      <w:rPr>
        <w:sz w:val="28"/>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14:paraId="6ECAC5AF">
                <w:pPr>
                  <w:pStyle w:val="17"/>
                </w:pPr>
                <w:r>
                  <w:fldChar w:fldCharType="begin"/>
                </w:r>
                <w:r>
                  <w:instrText xml:space="preserve"> PAGE  \* MERGEFORMAT </w:instrText>
                </w:r>
                <w:r>
                  <w:fldChar w:fldCharType="separate"/>
                </w:r>
                <w:r>
                  <w:t>13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9395">
    <w:pPr>
      <w:spacing w:line="194" w:lineRule="auto"/>
      <w:ind w:left="4269"/>
      <w:rPr>
        <w:rFonts w:eastAsia="Times New Roman"/>
        <w:sz w:val="20"/>
        <w:szCs w:val="20"/>
      </w:rPr>
    </w:pPr>
    <w:r>
      <w:rPr>
        <w:sz w:val="20"/>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53A57A1">
                <w:pPr>
                  <w:pStyle w:val="17"/>
                </w:pPr>
                <w:r>
                  <w:fldChar w:fldCharType="begin"/>
                </w:r>
                <w:r>
                  <w:instrText xml:space="preserve"> PAGE  \* MERGEFORMAT </w:instrText>
                </w:r>
                <w:r>
                  <w:fldChar w:fldCharType="separate"/>
                </w:r>
                <w:r>
                  <w:t>62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B458">
    <w:pPr>
      <w:pStyle w:val="10"/>
      <w:spacing w:line="14" w:lineRule="auto"/>
      <w:rPr>
        <w:sz w:val="20"/>
      </w:rPr>
    </w:pPr>
    <w:r>
      <w:drawing>
        <wp:anchor distT="0" distB="0" distL="0" distR="0" simplePos="0" relativeHeight="251659264" behindDoc="1" locked="0" layoutInCell="1" allowOverlap="1">
          <wp:simplePos x="0" y="0"/>
          <wp:positionH relativeFrom="page">
            <wp:posOffset>3779520</wp:posOffset>
          </wp:positionH>
          <wp:positionV relativeFrom="page">
            <wp:posOffset>9904095</wp:posOffset>
          </wp:positionV>
          <wp:extent cx="181610" cy="152400"/>
          <wp:effectExtent l="0" t="0" r="0" b="0"/>
          <wp:wrapNone/>
          <wp:docPr id="2600929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92943" name="image2.png"/>
                  <pic:cNvPicPr>
                    <a:picLocks noChangeAspect="1"/>
                  </pic:cNvPicPr>
                </pic:nvPicPr>
                <pic:blipFill>
                  <a:blip r:embed="rId1" cstate="print"/>
                  <a:stretch>
                    <a:fillRect/>
                  </a:stretch>
                </pic:blipFill>
                <pic:spPr>
                  <a:xfrm>
                    <a:off x="0" y="0"/>
                    <a:ext cx="181355" cy="152400"/>
                  </a:xfrm>
                  <a:prstGeom prst="rect">
                    <a:avLst/>
                  </a:prstGeom>
                </pic:spPr>
              </pic:pic>
            </a:graphicData>
          </a:graphic>
        </wp:anchor>
      </w:drawing>
    </w:r>
    <w:r>
      <w:pict>
        <v:shape id="_x0000_s2050" o:spid="_x0000_s2050" o:spt="202" type="#_x0000_t202" style="position:absolute;left:0pt;margin-top:0pt;height:12pt;width:13.75pt;mso-position-horizontal:center;mso-position-horizontal-relative:margin;z-index:251660288;mso-width-relative:page;mso-height-relative:page;" filled="f" stroked="f" coordsize="21600,21600" o:gfxdata="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fTwUdQAAAADAQAADwAAAAAAAAABACAAAAAiAAAAZHJzL2Rvd25yZXYueG1sUEsBAhQAFAAA&#10;AAgAh07iQMezKOW6AQAAcQMAAA4AAAAAAAAAAQAgAAAAIwEAAGRycy9lMm9Eb2MueG1sUEsFBgAA&#10;AAAGAAYAWQEAAE8FAAAAAA==&#10;">
          <v:path/>
          <v:fill on="f" focussize="0,0"/>
          <v:stroke on="f" joinstyle="miter"/>
          <v:imagedata o:title=""/>
          <o:lock v:ext="edit"/>
          <v:textbox inset="0mm,0mm,0mm,0mm">
            <w:txbxContent>
              <w:p w14:paraId="6C587177">
                <w:pPr>
                  <w:spacing w:before="12"/>
                  <w:ind w:left="40"/>
                  <w:jc w:val="left"/>
                  <w:rPr>
                    <w:sz w:val="18"/>
                  </w:rPr>
                </w:pPr>
                <w:r>
                  <w:fldChar w:fldCharType="begin"/>
                </w:r>
                <w:r>
                  <w:rPr>
                    <w:sz w:val="18"/>
                  </w:rPr>
                  <w:instrText xml:space="preserve"> PAGE </w:instrText>
                </w:r>
                <w:r>
                  <w:fldChar w:fldCharType="separate"/>
                </w:r>
                <w:r>
                  <w:rPr>
                    <w:sz w:val="18"/>
                  </w:rPr>
                  <w:t>77</w:t>
                </w:r>
                <w:r>
                  <w:fldChar w:fldCharType="end"/>
                </w:r>
              </w:p>
            </w:txbxContent>
          </v:textbox>
        </v:shape>
      </w:pict>
    </w:r>
    <w:r>
      <w:pict>
        <v:shape id="_x0000_s2049" o:spid="_x0000_s2049" o:spt="202" type="#_x0000_t202" style="position:absolute;left:0pt;margin-left:58.05pt;margin-top:782.75pt;height:12pt;width:7pt;mso-position-horizontal-relative:page;mso-position-vertical-relative:page;z-index:-251655168;mso-width-relative:page;mso-height-relative:page;" filled="f" stroked="f" coordsize="21600,21600" o:gfxdata="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8vcC2QAAAA0BAAAPAAAAAAAAAAEAIAAAACIAAABkcnMvZG93bnJldi54bWxQSwECFAAU&#10;AAAACACHTuJAjurlCbcBAABwAwAADgAAAAAAAAABACAAAAAoAQAAZHJzL2Uyb0RvYy54bWxQSwUG&#10;AAAAAAYABgBZAQAAUQUAAAAA&#10;">
          <v:path/>
          <v:fill on="f" focussize="0,0"/>
          <v:stroke on="f" joinstyle="miter"/>
          <v:imagedata o:title=""/>
          <o:lock v:ext="edit"/>
          <v:textbox inset="0mm,0mm,0mm,0mm">
            <w:txbxContent>
              <w:p w14:paraId="58A5D45C">
                <w:pPr>
                  <w:spacing w:line="239" w:lineRule="exact"/>
                  <w:ind w:left="20"/>
                  <w:jc w:val="left"/>
                  <w:rPr>
                    <w:sz w:val="20"/>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FDF16"/>
    <w:multiLevelType w:val="singleLevel"/>
    <w:tmpl w:val="825FDF16"/>
    <w:lvl w:ilvl="0" w:tentative="0">
      <w:start w:val="1"/>
      <w:numFmt w:val="decimal"/>
      <w:lvlText w:val="(%1)"/>
      <w:lvlJc w:val="left"/>
      <w:pPr>
        <w:ind w:left="425" w:hanging="425"/>
      </w:pPr>
      <w:rPr>
        <w:rFonts w:hint="default" w:asciiTheme="minorEastAsia" w:hAnsiTheme="minorEastAsia" w:eastAsiaTheme="minorEastAsia" w:cstheme="minorEastAsia"/>
        <w:sz w:val="21"/>
        <w:szCs w:val="21"/>
      </w:rPr>
    </w:lvl>
  </w:abstractNum>
  <w:abstractNum w:abstractNumId="1">
    <w:nsid w:val="A4641FDC"/>
    <w:multiLevelType w:val="singleLevel"/>
    <w:tmpl w:val="A4641FDC"/>
    <w:lvl w:ilvl="0" w:tentative="0">
      <w:start w:val="1"/>
      <w:numFmt w:val="decimal"/>
      <w:lvlText w:val="(%1)"/>
      <w:lvlJc w:val="left"/>
      <w:pPr>
        <w:ind w:left="425" w:hanging="425"/>
      </w:pPr>
      <w:rPr>
        <w:rFonts w:hint="default"/>
      </w:rPr>
    </w:lvl>
  </w:abstractNum>
  <w:abstractNum w:abstractNumId="2">
    <w:nsid w:val="A9749A34"/>
    <w:multiLevelType w:val="multilevel"/>
    <w:tmpl w:val="A9749A34"/>
    <w:lvl w:ilvl="0" w:tentative="0">
      <w:start w:val="1"/>
      <w:numFmt w:val="decimal"/>
      <w:lvlText w:val="（%1）"/>
      <w:legacy w:legacy="1" w:legacySpace="0" w:legacyIndent="450"/>
      <w:lvlJc w:val="left"/>
      <w:pPr>
        <w:ind w:left="450" w:hanging="45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3">
    <w:nsid w:val="AFB867E0"/>
    <w:multiLevelType w:val="singleLevel"/>
    <w:tmpl w:val="AFB867E0"/>
    <w:lvl w:ilvl="0" w:tentative="0">
      <w:start w:val="1"/>
      <w:numFmt w:val="decimal"/>
      <w:lvlText w:val="(%1)"/>
      <w:lvlJc w:val="left"/>
      <w:pPr>
        <w:ind w:left="425" w:hanging="425"/>
      </w:pPr>
      <w:rPr>
        <w:rFonts w:hint="default"/>
      </w:rPr>
    </w:lvl>
  </w:abstractNum>
  <w:abstractNum w:abstractNumId="4">
    <w:nsid w:val="BD260FB5"/>
    <w:multiLevelType w:val="singleLevel"/>
    <w:tmpl w:val="BD260FB5"/>
    <w:lvl w:ilvl="0" w:tentative="0">
      <w:start w:val="2"/>
      <w:numFmt w:val="chineseCounting"/>
      <w:suff w:val="nothing"/>
      <w:lvlText w:val="（%1）"/>
      <w:lvlJc w:val="left"/>
      <w:rPr>
        <w:rFonts w:hint="eastAsia"/>
      </w:rPr>
    </w:lvl>
  </w:abstractNum>
  <w:abstractNum w:abstractNumId="5">
    <w:nsid w:val="C9D0B334"/>
    <w:multiLevelType w:val="singleLevel"/>
    <w:tmpl w:val="C9D0B334"/>
    <w:lvl w:ilvl="0" w:tentative="0">
      <w:start w:val="2"/>
      <w:numFmt w:val="decimal"/>
      <w:suff w:val="nothing"/>
      <w:lvlText w:val="%1、"/>
      <w:lvlJc w:val="left"/>
    </w:lvl>
  </w:abstractNum>
  <w:abstractNum w:abstractNumId="6">
    <w:nsid w:val="D21F803F"/>
    <w:multiLevelType w:val="singleLevel"/>
    <w:tmpl w:val="D21F803F"/>
    <w:lvl w:ilvl="0" w:tentative="0">
      <w:start w:val="1"/>
      <w:numFmt w:val="decimal"/>
      <w:suff w:val="nothing"/>
      <w:lvlText w:val="%1．"/>
      <w:lvlJc w:val="left"/>
      <w:pPr>
        <w:ind w:left="0" w:firstLine="400"/>
      </w:pPr>
      <w:rPr>
        <w:rFonts w:hint="default"/>
      </w:rPr>
    </w:lvl>
  </w:abstractNum>
  <w:abstractNum w:abstractNumId="7">
    <w:nsid w:val="D2346413"/>
    <w:multiLevelType w:val="singleLevel"/>
    <w:tmpl w:val="D2346413"/>
    <w:lvl w:ilvl="0" w:tentative="0">
      <w:start w:val="1"/>
      <w:numFmt w:val="decimal"/>
      <w:suff w:val="nothing"/>
      <w:lvlText w:val="%1．"/>
      <w:lvlJc w:val="left"/>
      <w:pPr>
        <w:ind w:left="0" w:firstLine="400"/>
      </w:pPr>
      <w:rPr>
        <w:rFonts w:hint="default"/>
      </w:rPr>
    </w:lvl>
  </w:abstractNum>
  <w:abstractNum w:abstractNumId="8">
    <w:nsid w:val="D4CB3B0C"/>
    <w:multiLevelType w:val="singleLevel"/>
    <w:tmpl w:val="D4CB3B0C"/>
    <w:lvl w:ilvl="0" w:tentative="0">
      <w:start w:val="1"/>
      <w:numFmt w:val="decimal"/>
      <w:suff w:val="nothing"/>
      <w:lvlText w:val="%1．"/>
      <w:lvlJc w:val="left"/>
      <w:pPr>
        <w:ind w:left="0" w:firstLine="400"/>
      </w:pPr>
      <w:rPr>
        <w:rFonts w:hint="default"/>
      </w:rPr>
    </w:lvl>
  </w:abstractNum>
  <w:abstractNum w:abstractNumId="9">
    <w:nsid w:val="DE8E6333"/>
    <w:multiLevelType w:val="singleLevel"/>
    <w:tmpl w:val="DE8E6333"/>
    <w:lvl w:ilvl="0" w:tentative="0">
      <w:start w:val="1"/>
      <w:numFmt w:val="decimal"/>
      <w:suff w:val="nothing"/>
      <w:lvlText w:val="%1．"/>
      <w:lvlJc w:val="left"/>
      <w:pPr>
        <w:ind w:left="0" w:firstLine="400"/>
      </w:pPr>
      <w:rPr>
        <w:rFonts w:hint="default"/>
      </w:rPr>
    </w:lvl>
  </w:abstractNum>
  <w:abstractNum w:abstractNumId="10">
    <w:nsid w:val="E5FE6802"/>
    <w:multiLevelType w:val="singleLevel"/>
    <w:tmpl w:val="E5FE6802"/>
    <w:lvl w:ilvl="0" w:tentative="0">
      <w:start w:val="1"/>
      <w:numFmt w:val="decimal"/>
      <w:suff w:val="nothing"/>
      <w:lvlText w:val="%1．"/>
      <w:lvlJc w:val="left"/>
      <w:pPr>
        <w:ind w:left="0" w:firstLine="400"/>
      </w:pPr>
      <w:rPr>
        <w:rFonts w:hint="default"/>
      </w:rPr>
    </w:lvl>
  </w:abstractNum>
  <w:abstractNum w:abstractNumId="11">
    <w:nsid w:val="EBC891CD"/>
    <w:multiLevelType w:val="singleLevel"/>
    <w:tmpl w:val="EBC891CD"/>
    <w:lvl w:ilvl="0" w:tentative="0">
      <w:start w:val="1"/>
      <w:numFmt w:val="decimal"/>
      <w:lvlText w:val="(%1)"/>
      <w:lvlJc w:val="left"/>
      <w:pPr>
        <w:ind w:left="425" w:hanging="425"/>
      </w:pPr>
      <w:rPr>
        <w:rFonts w:hint="default"/>
      </w:rPr>
    </w:lvl>
  </w:abstractNum>
  <w:abstractNum w:abstractNumId="12">
    <w:nsid w:val="F492B58F"/>
    <w:multiLevelType w:val="singleLevel"/>
    <w:tmpl w:val="F492B58F"/>
    <w:lvl w:ilvl="0" w:tentative="0">
      <w:start w:val="1"/>
      <w:numFmt w:val="decimal"/>
      <w:suff w:val="nothing"/>
      <w:lvlText w:val="%1．"/>
      <w:lvlJc w:val="left"/>
      <w:pPr>
        <w:ind w:left="0" w:firstLine="400"/>
      </w:pPr>
      <w:rPr>
        <w:rFonts w:hint="default"/>
      </w:rPr>
    </w:lvl>
  </w:abstractNum>
  <w:abstractNum w:abstractNumId="13">
    <w:nsid w:val="FFEEB6FB"/>
    <w:multiLevelType w:val="singleLevel"/>
    <w:tmpl w:val="FFEEB6FB"/>
    <w:lvl w:ilvl="0" w:tentative="0">
      <w:start w:val="1"/>
      <w:numFmt w:val="decimal"/>
      <w:lvlText w:val="(%1)"/>
      <w:lvlJc w:val="left"/>
      <w:pPr>
        <w:ind w:left="425" w:hanging="425"/>
      </w:pPr>
      <w:rPr>
        <w:rFonts w:hint="default"/>
      </w:rPr>
    </w:lvl>
  </w:abstractNum>
  <w:abstractNum w:abstractNumId="14">
    <w:nsid w:val="07DAC984"/>
    <w:multiLevelType w:val="singleLevel"/>
    <w:tmpl w:val="07DAC984"/>
    <w:lvl w:ilvl="0" w:tentative="0">
      <w:start w:val="1"/>
      <w:numFmt w:val="decimal"/>
      <w:lvlText w:val="(%1)"/>
      <w:lvlJc w:val="left"/>
      <w:pPr>
        <w:ind w:left="425" w:hanging="425"/>
      </w:pPr>
      <w:rPr>
        <w:rFonts w:hint="default"/>
      </w:rPr>
    </w:lvl>
  </w:abstractNum>
  <w:abstractNum w:abstractNumId="15">
    <w:nsid w:val="0CB71F7A"/>
    <w:multiLevelType w:val="singleLevel"/>
    <w:tmpl w:val="0CB71F7A"/>
    <w:lvl w:ilvl="0" w:tentative="0">
      <w:start w:val="1"/>
      <w:numFmt w:val="decimal"/>
      <w:lvlText w:val="(%1)"/>
      <w:lvlJc w:val="left"/>
      <w:pPr>
        <w:ind w:left="425" w:hanging="425"/>
      </w:pPr>
      <w:rPr>
        <w:rFonts w:hint="default"/>
      </w:rPr>
    </w:lvl>
  </w:abstractNum>
  <w:abstractNum w:abstractNumId="16">
    <w:nsid w:val="1EE31F66"/>
    <w:multiLevelType w:val="singleLevel"/>
    <w:tmpl w:val="1EE31F66"/>
    <w:lvl w:ilvl="0" w:tentative="0">
      <w:start w:val="1"/>
      <w:numFmt w:val="chineseCounting"/>
      <w:suff w:val="nothing"/>
      <w:lvlText w:val="%1、"/>
      <w:lvlJc w:val="left"/>
      <w:rPr>
        <w:rFonts w:hint="eastAsia"/>
      </w:rPr>
    </w:lvl>
  </w:abstractNum>
  <w:abstractNum w:abstractNumId="17">
    <w:nsid w:val="2B071064"/>
    <w:multiLevelType w:val="singleLevel"/>
    <w:tmpl w:val="2B071064"/>
    <w:lvl w:ilvl="0" w:tentative="0">
      <w:start w:val="1"/>
      <w:numFmt w:val="decimal"/>
      <w:lvlText w:val="(%1)"/>
      <w:lvlJc w:val="left"/>
      <w:pPr>
        <w:ind w:left="425" w:hanging="425"/>
      </w:pPr>
      <w:rPr>
        <w:rFonts w:hint="default"/>
      </w:rPr>
    </w:lvl>
  </w:abstractNum>
  <w:abstractNum w:abstractNumId="18">
    <w:nsid w:val="57199BA9"/>
    <w:multiLevelType w:val="singleLevel"/>
    <w:tmpl w:val="57199BA9"/>
    <w:lvl w:ilvl="0" w:tentative="0">
      <w:start w:val="1"/>
      <w:numFmt w:val="decimal"/>
      <w:suff w:val="nothing"/>
      <w:lvlText w:val="%1．"/>
      <w:lvlJc w:val="left"/>
      <w:pPr>
        <w:ind w:left="0" w:firstLine="400"/>
      </w:pPr>
      <w:rPr>
        <w:rFonts w:hint="default"/>
      </w:rPr>
    </w:lvl>
  </w:abstractNum>
  <w:abstractNum w:abstractNumId="19">
    <w:nsid w:val="5D85BA78"/>
    <w:multiLevelType w:val="singleLevel"/>
    <w:tmpl w:val="5D85BA78"/>
    <w:lvl w:ilvl="0" w:tentative="0">
      <w:start w:val="1"/>
      <w:numFmt w:val="decimal"/>
      <w:lvlText w:val="%1."/>
      <w:lvlJc w:val="left"/>
      <w:pPr>
        <w:ind w:left="425" w:hanging="425"/>
      </w:pPr>
      <w:rPr>
        <w:rFonts w:hint="default"/>
      </w:rPr>
    </w:lvl>
  </w:abstractNum>
  <w:abstractNum w:abstractNumId="20">
    <w:nsid w:val="5DA15762"/>
    <w:multiLevelType w:val="singleLevel"/>
    <w:tmpl w:val="5DA15762"/>
    <w:lvl w:ilvl="0" w:tentative="0">
      <w:start w:val="1"/>
      <w:numFmt w:val="decimal"/>
      <w:suff w:val="nothing"/>
      <w:lvlText w:val="%1．"/>
      <w:lvlJc w:val="left"/>
      <w:pPr>
        <w:ind w:left="0" w:firstLine="400"/>
      </w:pPr>
      <w:rPr>
        <w:rFonts w:hint="default"/>
      </w:rPr>
    </w:lvl>
  </w:abstractNum>
  <w:abstractNum w:abstractNumId="21">
    <w:nsid w:val="64C44D79"/>
    <w:multiLevelType w:val="singleLevel"/>
    <w:tmpl w:val="64C44D79"/>
    <w:lvl w:ilvl="0" w:tentative="0">
      <w:start w:val="1"/>
      <w:numFmt w:val="decimal"/>
      <w:suff w:val="nothing"/>
      <w:lvlText w:val="%1．"/>
      <w:lvlJc w:val="left"/>
      <w:pPr>
        <w:ind w:left="0" w:firstLine="400"/>
      </w:pPr>
      <w:rPr>
        <w:rFonts w:hint="default"/>
      </w:rPr>
    </w:lvl>
  </w:abstractNum>
  <w:abstractNum w:abstractNumId="22">
    <w:nsid w:val="70813205"/>
    <w:multiLevelType w:val="singleLevel"/>
    <w:tmpl w:val="70813205"/>
    <w:lvl w:ilvl="0" w:tentative="0">
      <w:start w:val="1"/>
      <w:numFmt w:val="decimal"/>
      <w:suff w:val="nothing"/>
      <w:lvlText w:val="%1．"/>
      <w:lvlJc w:val="left"/>
      <w:pPr>
        <w:ind w:left="0" w:firstLine="400"/>
      </w:pPr>
      <w:rPr>
        <w:rFonts w:hint="default"/>
      </w:rPr>
    </w:lvl>
  </w:abstractNum>
  <w:abstractNum w:abstractNumId="23">
    <w:nsid w:val="740B6359"/>
    <w:multiLevelType w:val="singleLevel"/>
    <w:tmpl w:val="740B6359"/>
    <w:lvl w:ilvl="0" w:tentative="0">
      <w:start w:val="1"/>
      <w:numFmt w:val="decimal"/>
      <w:suff w:val="nothing"/>
      <w:lvlText w:val="%1．"/>
      <w:lvlJc w:val="left"/>
      <w:pPr>
        <w:ind w:left="0" w:firstLine="400"/>
      </w:pPr>
      <w:rPr>
        <w:rFonts w:hint="default"/>
      </w:rPr>
    </w:lvl>
  </w:abstractNum>
  <w:abstractNum w:abstractNumId="24">
    <w:nsid w:val="7C246926"/>
    <w:multiLevelType w:val="multilevel"/>
    <w:tmpl w:val="7C246926"/>
    <w:lvl w:ilvl="0" w:tentative="0">
      <w:start w:val="1"/>
      <w:numFmt w:val="decimal"/>
      <w:lvlText w:val="（%1）"/>
      <w:lvlJc w:val="left"/>
      <w:pPr>
        <w:ind w:left="141" w:hanging="601"/>
      </w:pPr>
      <w:rPr>
        <w:rFonts w:hint="default" w:ascii="宋体" w:hAnsi="宋体" w:eastAsia="宋体" w:cs="宋体"/>
        <w:spacing w:val="-17"/>
        <w:w w:val="100"/>
        <w:sz w:val="22"/>
        <w:szCs w:val="22"/>
        <w:lang w:val="zh-CN" w:eastAsia="zh-CN" w:bidi="zh-CN"/>
      </w:rPr>
    </w:lvl>
    <w:lvl w:ilvl="1" w:tentative="0">
      <w:start w:val="1"/>
      <w:numFmt w:val="decimal"/>
      <w:lvlText w:val="%2."/>
      <w:lvlJc w:val="left"/>
      <w:pPr>
        <w:ind w:left="1067" w:hanging="243"/>
      </w:pPr>
      <w:rPr>
        <w:rFonts w:hint="default" w:ascii="宋体" w:hAnsi="宋体" w:eastAsia="宋体" w:cs="宋体"/>
        <w:spacing w:val="-3"/>
        <w:w w:val="100"/>
        <w:sz w:val="22"/>
        <w:szCs w:val="22"/>
        <w:lang w:val="zh-CN" w:eastAsia="zh-CN" w:bidi="zh-CN"/>
      </w:rPr>
    </w:lvl>
    <w:lvl w:ilvl="2" w:tentative="0">
      <w:start w:val="0"/>
      <w:numFmt w:val="bullet"/>
      <w:lvlText w:val="•"/>
      <w:lvlJc w:val="left"/>
      <w:pPr>
        <w:ind w:left="2103" w:hanging="243"/>
      </w:pPr>
      <w:rPr>
        <w:rFonts w:hint="default"/>
        <w:lang w:val="zh-CN" w:eastAsia="zh-CN" w:bidi="zh-CN"/>
      </w:rPr>
    </w:lvl>
    <w:lvl w:ilvl="3" w:tentative="0">
      <w:start w:val="0"/>
      <w:numFmt w:val="bullet"/>
      <w:lvlText w:val="•"/>
      <w:lvlJc w:val="left"/>
      <w:pPr>
        <w:ind w:left="3146" w:hanging="243"/>
      </w:pPr>
      <w:rPr>
        <w:rFonts w:hint="default"/>
        <w:lang w:val="zh-CN" w:eastAsia="zh-CN" w:bidi="zh-CN"/>
      </w:rPr>
    </w:lvl>
    <w:lvl w:ilvl="4" w:tentative="0">
      <w:start w:val="0"/>
      <w:numFmt w:val="bullet"/>
      <w:lvlText w:val="•"/>
      <w:lvlJc w:val="left"/>
      <w:pPr>
        <w:ind w:left="4190" w:hanging="243"/>
      </w:pPr>
      <w:rPr>
        <w:rFonts w:hint="default"/>
        <w:lang w:val="zh-CN" w:eastAsia="zh-CN" w:bidi="zh-CN"/>
      </w:rPr>
    </w:lvl>
    <w:lvl w:ilvl="5" w:tentative="0">
      <w:start w:val="0"/>
      <w:numFmt w:val="bullet"/>
      <w:lvlText w:val="•"/>
      <w:lvlJc w:val="left"/>
      <w:pPr>
        <w:ind w:left="5233" w:hanging="243"/>
      </w:pPr>
      <w:rPr>
        <w:rFonts w:hint="default"/>
        <w:lang w:val="zh-CN" w:eastAsia="zh-CN" w:bidi="zh-CN"/>
      </w:rPr>
    </w:lvl>
    <w:lvl w:ilvl="6" w:tentative="0">
      <w:start w:val="0"/>
      <w:numFmt w:val="bullet"/>
      <w:lvlText w:val="•"/>
      <w:lvlJc w:val="left"/>
      <w:pPr>
        <w:ind w:left="6277" w:hanging="243"/>
      </w:pPr>
      <w:rPr>
        <w:rFonts w:hint="default"/>
        <w:lang w:val="zh-CN" w:eastAsia="zh-CN" w:bidi="zh-CN"/>
      </w:rPr>
    </w:lvl>
    <w:lvl w:ilvl="7" w:tentative="0">
      <w:start w:val="0"/>
      <w:numFmt w:val="bullet"/>
      <w:lvlText w:val="•"/>
      <w:lvlJc w:val="left"/>
      <w:pPr>
        <w:ind w:left="7320" w:hanging="243"/>
      </w:pPr>
      <w:rPr>
        <w:rFonts w:hint="default"/>
        <w:lang w:val="zh-CN" w:eastAsia="zh-CN" w:bidi="zh-CN"/>
      </w:rPr>
    </w:lvl>
    <w:lvl w:ilvl="8" w:tentative="0">
      <w:start w:val="0"/>
      <w:numFmt w:val="bullet"/>
      <w:lvlText w:val="•"/>
      <w:lvlJc w:val="left"/>
      <w:pPr>
        <w:ind w:left="8364" w:hanging="243"/>
      </w:pPr>
      <w:rPr>
        <w:rFonts w:hint="default"/>
        <w:lang w:val="zh-CN" w:eastAsia="zh-CN" w:bidi="zh-CN"/>
      </w:rPr>
    </w:lvl>
  </w:abstractNum>
  <w:abstractNum w:abstractNumId="25">
    <w:nsid w:val="7D481032"/>
    <w:multiLevelType w:val="singleLevel"/>
    <w:tmpl w:val="7D481032"/>
    <w:lvl w:ilvl="0" w:tentative="0">
      <w:start w:val="1"/>
      <w:numFmt w:val="decimal"/>
      <w:lvlText w:val="(%1)"/>
      <w:lvlJc w:val="left"/>
      <w:pPr>
        <w:ind w:left="425" w:hanging="425"/>
      </w:pPr>
      <w:rPr>
        <w:rFonts w:hint="default"/>
      </w:rPr>
    </w:lvl>
  </w:abstractNum>
  <w:num w:numId="1">
    <w:abstractNumId w:val="9"/>
  </w:num>
  <w:num w:numId="2">
    <w:abstractNumId w:val="17"/>
  </w:num>
  <w:num w:numId="3">
    <w:abstractNumId w:val="11"/>
  </w:num>
  <w:num w:numId="4">
    <w:abstractNumId w:val="13"/>
  </w:num>
  <w:num w:numId="5">
    <w:abstractNumId w:val="2"/>
  </w:num>
  <w:num w:numId="6">
    <w:abstractNumId w:val="0"/>
  </w:num>
  <w:num w:numId="7">
    <w:abstractNumId w:val="25"/>
  </w:num>
  <w:num w:numId="8">
    <w:abstractNumId w:val="14"/>
  </w:num>
  <w:num w:numId="9">
    <w:abstractNumId w:val="3"/>
  </w:num>
  <w:num w:numId="10">
    <w:abstractNumId w:val="15"/>
  </w:num>
  <w:num w:numId="11">
    <w:abstractNumId w:val="1"/>
  </w:num>
  <w:num w:numId="12">
    <w:abstractNumId w:val="19"/>
  </w:num>
  <w:num w:numId="13">
    <w:abstractNumId w:val="16"/>
  </w:num>
  <w:num w:numId="14">
    <w:abstractNumId w:val="23"/>
  </w:num>
  <w:num w:numId="15">
    <w:abstractNumId w:val="7"/>
  </w:num>
  <w:num w:numId="16">
    <w:abstractNumId w:val="21"/>
  </w:num>
  <w:num w:numId="17">
    <w:abstractNumId w:val="18"/>
  </w:num>
  <w:num w:numId="18">
    <w:abstractNumId w:val="10"/>
  </w:num>
  <w:num w:numId="19">
    <w:abstractNumId w:val="12"/>
  </w:num>
  <w:num w:numId="20">
    <w:abstractNumId w:val="22"/>
  </w:num>
  <w:num w:numId="21">
    <w:abstractNumId w:val="8"/>
  </w:num>
  <w:num w:numId="22">
    <w:abstractNumId w:val="20"/>
  </w:num>
  <w:num w:numId="23">
    <w:abstractNumId w:val="6"/>
  </w:num>
  <w:num w:numId="24">
    <w:abstractNumId w:val="24"/>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yNDFhYzdhNTg1MTlkODU5MzFiZTU0ZmY2YWQ5NWMifQ=="/>
  </w:docVars>
  <w:rsids>
    <w:rsidRoot w:val="7F85678B"/>
    <w:rsid w:val="00186BF0"/>
    <w:rsid w:val="001971C7"/>
    <w:rsid w:val="001A6127"/>
    <w:rsid w:val="00277D39"/>
    <w:rsid w:val="004E1436"/>
    <w:rsid w:val="005F5376"/>
    <w:rsid w:val="008F052E"/>
    <w:rsid w:val="00A36030"/>
    <w:rsid w:val="00CD7280"/>
    <w:rsid w:val="00DC3755"/>
    <w:rsid w:val="00F61DE6"/>
    <w:rsid w:val="00FB5135"/>
    <w:rsid w:val="00FC1A4E"/>
    <w:rsid w:val="07E46E2F"/>
    <w:rsid w:val="08E6788B"/>
    <w:rsid w:val="0B384D33"/>
    <w:rsid w:val="0CF44A52"/>
    <w:rsid w:val="0D132844"/>
    <w:rsid w:val="0E59465B"/>
    <w:rsid w:val="0FCC559F"/>
    <w:rsid w:val="10561ABC"/>
    <w:rsid w:val="11933ED4"/>
    <w:rsid w:val="13141499"/>
    <w:rsid w:val="139B3968"/>
    <w:rsid w:val="13BF31B2"/>
    <w:rsid w:val="13CA1B57"/>
    <w:rsid w:val="14F041B3"/>
    <w:rsid w:val="18A4506D"/>
    <w:rsid w:val="198C3F5C"/>
    <w:rsid w:val="19921BF7"/>
    <w:rsid w:val="1A1168AB"/>
    <w:rsid w:val="1AC8028B"/>
    <w:rsid w:val="1ADF05DE"/>
    <w:rsid w:val="1BC25F36"/>
    <w:rsid w:val="1C01417E"/>
    <w:rsid w:val="1D2A65EA"/>
    <w:rsid w:val="1E1862E1"/>
    <w:rsid w:val="20B8743D"/>
    <w:rsid w:val="21502003"/>
    <w:rsid w:val="21BF46A0"/>
    <w:rsid w:val="227E2316"/>
    <w:rsid w:val="239C32C0"/>
    <w:rsid w:val="244427D2"/>
    <w:rsid w:val="24B65F7F"/>
    <w:rsid w:val="24F7496F"/>
    <w:rsid w:val="258A7444"/>
    <w:rsid w:val="264E2189"/>
    <w:rsid w:val="27BE226B"/>
    <w:rsid w:val="29B12F44"/>
    <w:rsid w:val="2A5A7537"/>
    <w:rsid w:val="2BCB6412"/>
    <w:rsid w:val="2C447F20"/>
    <w:rsid w:val="2C9912E7"/>
    <w:rsid w:val="2FF26266"/>
    <w:rsid w:val="30285DC6"/>
    <w:rsid w:val="317E4255"/>
    <w:rsid w:val="32007899"/>
    <w:rsid w:val="32340DB8"/>
    <w:rsid w:val="352D56C0"/>
    <w:rsid w:val="363C648D"/>
    <w:rsid w:val="36C15C8B"/>
    <w:rsid w:val="37CB5D1A"/>
    <w:rsid w:val="38023CE9"/>
    <w:rsid w:val="38C5610E"/>
    <w:rsid w:val="39F27144"/>
    <w:rsid w:val="3B2C1667"/>
    <w:rsid w:val="3EBE05AD"/>
    <w:rsid w:val="3F555E76"/>
    <w:rsid w:val="3F80563C"/>
    <w:rsid w:val="3FA0497F"/>
    <w:rsid w:val="40D05B99"/>
    <w:rsid w:val="415914C1"/>
    <w:rsid w:val="423473DA"/>
    <w:rsid w:val="46224C1A"/>
    <w:rsid w:val="46254C11"/>
    <w:rsid w:val="469F333D"/>
    <w:rsid w:val="4A1A512A"/>
    <w:rsid w:val="4B032EF2"/>
    <w:rsid w:val="4C59349D"/>
    <w:rsid w:val="4C910DD2"/>
    <w:rsid w:val="4C994D97"/>
    <w:rsid w:val="4F133E91"/>
    <w:rsid w:val="4F9E52A0"/>
    <w:rsid w:val="50AA1375"/>
    <w:rsid w:val="51200A2D"/>
    <w:rsid w:val="518C6A72"/>
    <w:rsid w:val="519855AD"/>
    <w:rsid w:val="525B7BFF"/>
    <w:rsid w:val="527B6AA0"/>
    <w:rsid w:val="52DC0984"/>
    <w:rsid w:val="5627143F"/>
    <w:rsid w:val="56F50266"/>
    <w:rsid w:val="572D6E66"/>
    <w:rsid w:val="583013A5"/>
    <w:rsid w:val="59974B92"/>
    <w:rsid w:val="5A315A59"/>
    <w:rsid w:val="5BFF53AB"/>
    <w:rsid w:val="5C537F09"/>
    <w:rsid w:val="5EEC5C1F"/>
    <w:rsid w:val="5EEE3123"/>
    <w:rsid w:val="5F1F104E"/>
    <w:rsid w:val="61882F87"/>
    <w:rsid w:val="625C4047"/>
    <w:rsid w:val="62E51A31"/>
    <w:rsid w:val="62E80710"/>
    <w:rsid w:val="64D9638C"/>
    <w:rsid w:val="67296E06"/>
    <w:rsid w:val="678135EA"/>
    <w:rsid w:val="683558CE"/>
    <w:rsid w:val="68A27B0E"/>
    <w:rsid w:val="69BD10B7"/>
    <w:rsid w:val="6A167B81"/>
    <w:rsid w:val="6A7B7D79"/>
    <w:rsid w:val="6AAE3B70"/>
    <w:rsid w:val="6C6309F4"/>
    <w:rsid w:val="6DAC56CB"/>
    <w:rsid w:val="6EBC3122"/>
    <w:rsid w:val="6F2B29DB"/>
    <w:rsid w:val="6F652494"/>
    <w:rsid w:val="70D5763F"/>
    <w:rsid w:val="71E27EE8"/>
    <w:rsid w:val="72181429"/>
    <w:rsid w:val="721E07D7"/>
    <w:rsid w:val="7319268F"/>
    <w:rsid w:val="73882835"/>
    <w:rsid w:val="73BB1DFB"/>
    <w:rsid w:val="7488713F"/>
    <w:rsid w:val="74EB5CCC"/>
    <w:rsid w:val="75315FF6"/>
    <w:rsid w:val="758A4106"/>
    <w:rsid w:val="7948683E"/>
    <w:rsid w:val="79F77CCE"/>
    <w:rsid w:val="7A3C1B84"/>
    <w:rsid w:val="7AC7009C"/>
    <w:rsid w:val="7AED6F81"/>
    <w:rsid w:val="7DB71EAF"/>
    <w:rsid w:val="7F071BDC"/>
    <w:rsid w:val="7F85678B"/>
    <w:rsid w:val="7FE5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autoRedefine/>
    <w:qFormat/>
    <w:uiPriority w:val="0"/>
    <w:pPr>
      <w:keepNext/>
      <w:keepLines/>
      <w:spacing w:before="340" w:after="330" w:line="578"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sz w:val="28"/>
      <w:szCs w:val="20"/>
    </w:rPr>
  </w:style>
  <w:style w:type="paragraph" w:styleId="6">
    <w:name w:val="heading 5"/>
    <w:basedOn w:val="1"/>
    <w:autoRedefine/>
    <w:qFormat/>
    <w:uiPriority w:val="1"/>
    <w:pPr>
      <w:spacing w:before="38"/>
      <w:ind w:left="667" w:right="884"/>
      <w:jc w:val="center"/>
      <w:outlineLvl w:val="4"/>
    </w:pPr>
    <w:rPr>
      <w:rFonts w:ascii="宋体" w:hAnsi="宋体" w:cs="宋体"/>
      <w:b/>
      <w:bCs/>
      <w:color w:val="FF0000"/>
      <w:sz w:val="24"/>
      <w:lang w:val="zh-CN" w:bidi="zh-CN"/>
    </w:rPr>
  </w:style>
  <w:style w:type="paragraph" w:styleId="7">
    <w:name w:val="heading 7"/>
    <w:basedOn w:val="1"/>
    <w:next w:val="1"/>
    <w:autoRedefine/>
    <w:qFormat/>
    <w:uiPriority w:val="1"/>
    <w:pPr>
      <w:ind w:left="640" w:hanging="423"/>
      <w:outlineLvl w:val="6"/>
    </w:pPr>
    <w:rPr>
      <w:rFonts w:ascii="宋体" w:hAnsi="宋体" w:cs="宋体"/>
      <w:b/>
      <w:bCs/>
      <w:szCs w:val="21"/>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ind w:firstLine="420" w:firstLineChars="200"/>
    </w:pPr>
  </w:style>
  <w:style w:type="paragraph" w:styleId="9">
    <w:name w:val="Body Text 2"/>
    <w:basedOn w:val="1"/>
    <w:next w:val="10"/>
    <w:autoRedefine/>
    <w:qFormat/>
    <w:uiPriority w:val="0"/>
    <w:pPr>
      <w:suppressAutoHyphens/>
      <w:jc w:val="left"/>
    </w:pPr>
    <w:rPr>
      <w:color w:val="000000"/>
      <w:kern w:val="1"/>
      <w:sz w:val="28"/>
      <w:szCs w:val="20"/>
    </w:rPr>
  </w:style>
  <w:style w:type="paragraph" w:styleId="10">
    <w:name w:val="Body Text"/>
    <w:basedOn w:val="1"/>
    <w:next w:val="1"/>
    <w:autoRedefine/>
    <w:qFormat/>
    <w:uiPriority w:val="0"/>
    <w:pPr>
      <w:spacing w:after="120"/>
    </w:pPr>
    <w:rPr>
      <w:szCs w:val="20"/>
    </w:rPr>
  </w:style>
  <w:style w:type="paragraph" w:styleId="11">
    <w:name w:val="annotation text"/>
    <w:basedOn w:val="1"/>
    <w:link w:val="54"/>
    <w:autoRedefine/>
    <w:semiHidden/>
    <w:qFormat/>
    <w:uiPriority w:val="0"/>
    <w:pPr>
      <w:jc w:val="left"/>
    </w:pPr>
  </w:style>
  <w:style w:type="paragraph" w:styleId="12">
    <w:name w:val="Body Text Indent"/>
    <w:basedOn w:val="1"/>
    <w:next w:val="1"/>
    <w:autoRedefine/>
    <w:qFormat/>
    <w:uiPriority w:val="0"/>
    <w:pPr>
      <w:spacing w:after="120"/>
      <w:ind w:left="420" w:leftChars="200"/>
    </w:pPr>
    <w:rPr>
      <w:szCs w:val="20"/>
    </w:rPr>
  </w:style>
  <w:style w:type="paragraph" w:styleId="13">
    <w:name w:val="toc 3"/>
    <w:basedOn w:val="1"/>
    <w:next w:val="1"/>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adjustRightInd w:val="0"/>
      <w:spacing w:line="360" w:lineRule="atLeast"/>
      <w:textAlignment w:val="baseline"/>
    </w:pPr>
    <w:rPr>
      <w:kern w:val="0"/>
      <w:sz w:val="28"/>
      <w:szCs w:val="20"/>
    </w:rPr>
  </w:style>
  <w:style w:type="paragraph" w:styleId="16">
    <w:name w:val="Balloon Text"/>
    <w:basedOn w:val="1"/>
    <w:link w:val="56"/>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right" w:leader="dot" w:pos="8296"/>
      </w:tabs>
      <w:spacing w:line="360" w:lineRule="auto"/>
      <w:ind w:right="733" w:rightChars="349"/>
      <w:jc w:val="center"/>
    </w:pPr>
    <w:rPr>
      <w:sz w:val="28"/>
    </w:rPr>
  </w:style>
  <w:style w:type="paragraph" w:styleId="20">
    <w:name w:val="toc 2"/>
    <w:basedOn w:val="1"/>
    <w:next w:val="1"/>
    <w:autoRedefine/>
    <w:qFormat/>
    <w:uiPriority w:val="39"/>
    <w:pPr>
      <w:tabs>
        <w:tab w:val="right" w:leader="dot" w:pos="8301"/>
      </w:tabs>
      <w:spacing w:line="360" w:lineRule="auto"/>
      <w:ind w:left="420" w:leftChars="200"/>
    </w:pPr>
    <w:rPr>
      <w:sz w:val="24"/>
    </w:r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2">
    <w:name w:val="index 1"/>
    <w:basedOn w:val="1"/>
    <w:next w:val="1"/>
    <w:autoRedefine/>
    <w:unhideWhenUsed/>
    <w:qFormat/>
    <w:uiPriority w:val="0"/>
    <w:rPr>
      <w:szCs w:val="20"/>
    </w:rPr>
  </w:style>
  <w:style w:type="paragraph" w:styleId="23">
    <w:name w:val="Title"/>
    <w:basedOn w:val="1"/>
    <w:next w:val="1"/>
    <w:autoRedefine/>
    <w:qFormat/>
    <w:uiPriority w:val="0"/>
    <w:pPr>
      <w:spacing w:before="240" w:after="60"/>
      <w:jc w:val="center"/>
      <w:outlineLvl w:val="0"/>
    </w:pPr>
    <w:rPr>
      <w:rFonts w:ascii="等线 Light" w:hAnsi="等线 Light"/>
      <w:b/>
      <w:bCs/>
      <w:sz w:val="32"/>
      <w:szCs w:val="32"/>
    </w:rPr>
  </w:style>
  <w:style w:type="paragraph" w:styleId="24">
    <w:name w:val="annotation subject"/>
    <w:basedOn w:val="11"/>
    <w:next w:val="11"/>
    <w:link w:val="55"/>
    <w:qFormat/>
    <w:uiPriority w:val="0"/>
    <w:rPr>
      <w:b/>
      <w:bCs/>
    </w:rPr>
  </w:style>
  <w:style w:type="paragraph" w:styleId="25">
    <w:name w:val="Body Text First Indent"/>
    <w:basedOn w:val="10"/>
    <w:next w:val="26"/>
    <w:autoRedefine/>
    <w:unhideWhenUsed/>
    <w:qFormat/>
    <w:uiPriority w:val="99"/>
    <w:pPr>
      <w:ind w:firstLine="420" w:firstLineChars="100"/>
    </w:pPr>
  </w:style>
  <w:style w:type="paragraph" w:styleId="26">
    <w:name w:val="Body Text First Indent 2"/>
    <w:basedOn w:val="12"/>
    <w:next w:val="1"/>
    <w:autoRedefine/>
    <w:qFormat/>
    <w:uiPriority w:val="0"/>
    <w:pPr>
      <w:ind w:firstLine="420" w:firstLineChars="200"/>
    </w:pPr>
    <w:rPr>
      <w:szCs w:val="21"/>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qFormat/>
    <w:uiPriority w:val="0"/>
    <w:rPr>
      <w:color w:val="5C5C5C"/>
      <w:u w:val="none"/>
    </w:rPr>
  </w:style>
  <w:style w:type="character" w:styleId="32">
    <w:name w:val="Emphasis"/>
    <w:basedOn w:val="29"/>
    <w:autoRedefine/>
    <w:qFormat/>
    <w:uiPriority w:val="0"/>
    <w:rPr>
      <w:b/>
      <w:bCs/>
    </w:rPr>
  </w:style>
  <w:style w:type="character" w:styleId="33">
    <w:name w:val="HTML Definition"/>
    <w:basedOn w:val="29"/>
    <w:autoRedefine/>
    <w:qFormat/>
    <w:uiPriority w:val="0"/>
  </w:style>
  <w:style w:type="character" w:styleId="34">
    <w:name w:val="HTML Typewriter"/>
    <w:basedOn w:val="29"/>
    <w:autoRedefine/>
    <w:qFormat/>
    <w:uiPriority w:val="0"/>
    <w:rPr>
      <w:rFonts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99"/>
    <w:rPr>
      <w:color w:val="5C5C5C"/>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annotation reference"/>
    <w:autoRedefine/>
    <w:qFormat/>
    <w:uiPriority w:val="99"/>
    <w:rPr>
      <w:sz w:val="21"/>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styleId="45">
    <w:name w:val="List Paragraph"/>
    <w:basedOn w:val="1"/>
    <w:autoRedefine/>
    <w:qFormat/>
    <w:uiPriority w:val="34"/>
    <w:pPr>
      <w:ind w:firstLine="420" w:firstLineChars="200"/>
    </w:pPr>
  </w:style>
  <w:style w:type="paragraph" w:customStyle="1" w:styleId="46">
    <w:name w:val="Table Paragraph"/>
    <w:basedOn w:val="1"/>
    <w:autoRedefine/>
    <w:qFormat/>
    <w:uiPriority w:val="0"/>
    <w:rPr>
      <w:rFonts w:ascii="宋体" w:hAnsi="宋体" w:cs="宋体"/>
      <w:lang w:val="zh-CN" w:bidi="zh-CN"/>
    </w:rPr>
  </w:style>
  <w:style w:type="paragraph" w:customStyle="1" w:styleId="47">
    <w:name w:val="Body text|1"/>
    <w:basedOn w:val="1"/>
    <w:autoRedefine/>
    <w:qFormat/>
    <w:uiPriority w:val="0"/>
    <w:pPr>
      <w:spacing w:line="394" w:lineRule="auto"/>
      <w:ind w:firstLine="400"/>
      <w:jc w:val="left"/>
    </w:pPr>
    <w:rPr>
      <w:rFonts w:ascii="宋体" w:hAnsi="宋体" w:cs="宋体"/>
      <w:kern w:val="0"/>
      <w:sz w:val="30"/>
      <w:szCs w:val="30"/>
      <w:lang w:val="zh-TW" w:eastAsia="zh-TW" w:bidi="zh-TW"/>
    </w:rPr>
  </w:style>
  <w:style w:type="character" w:customStyle="1" w:styleId="48">
    <w:name w:val="hover"/>
    <w:basedOn w:val="29"/>
    <w:autoRedefine/>
    <w:qFormat/>
    <w:uiPriority w:val="0"/>
  </w:style>
  <w:style w:type="character" w:customStyle="1" w:styleId="49">
    <w:name w:val="hover1"/>
    <w:basedOn w:val="29"/>
    <w:autoRedefine/>
    <w:qFormat/>
    <w:uiPriority w:val="0"/>
    <w:rPr>
      <w:color w:val="2590EB"/>
    </w:rPr>
  </w:style>
  <w:style w:type="character" w:customStyle="1" w:styleId="50">
    <w:name w:val="hover2"/>
    <w:basedOn w:val="29"/>
    <w:autoRedefine/>
    <w:qFormat/>
    <w:uiPriority w:val="0"/>
    <w:rPr>
      <w:color w:val="2590EB"/>
    </w:rPr>
  </w:style>
  <w:style w:type="character" w:customStyle="1" w:styleId="51">
    <w:name w:val="hover3"/>
    <w:basedOn w:val="29"/>
    <w:autoRedefine/>
    <w:qFormat/>
    <w:uiPriority w:val="0"/>
    <w:rPr>
      <w:color w:val="2590EB"/>
      <w:shd w:val="clear" w:color="auto" w:fill="E9F4FD"/>
    </w:rPr>
  </w:style>
  <w:style w:type="character" w:customStyle="1" w:styleId="52">
    <w:name w:val="hover18"/>
    <w:basedOn w:val="29"/>
    <w:autoRedefine/>
    <w:qFormat/>
    <w:uiPriority w:val="0"/>
  </w:style>
  <w:style w:type="paragraph" w:customStyle="1" w:styleId="5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4">
    <w:name w:val="批注文字 Char"/>
    <w:basedOn w:val="29"/>
    <w:link w:val="11"/>
    <w:semiHidden/>
    <w:qFormat/>
    <w:uiPriority w:val="0"/>
    <w:rPr>
      <w:kern w:val="2"/>
      <w:sz w:val="21"/>
      <w:szCs w:val="24"/>
    </w:rPr>
  </w:style>
  <w:style w:type="character" w:customStyle="1" w:styleId="55">
    <w:name w:val="批注主题 Char"/>
    <w:basedOn w:val="54"/>
    <w:link w:val="24"/>
    <w:qFormat/>
    <w:uiPriority w:val="0"/>
    <w:rPr>
      <w:b/>
      <w:bCs/>
      <w:kern w:val="2"/>
      <w:sz w:val="21"/>
      <w:szCs w:val="24"/>
    </w:rPr>
  </w:style>
  <w:style w:type="character" w:customStyle="1" w:styleId="56">
    <w:name w:val="批注框文本 Char"/>
    <w:basedOn w:val="29"/>
    <w:link w:val="16"/>
    <w:qFormat/>
    <w:uiPriority w:val="0"/>
    <w:rPr>
      <w:kern w:val="2"/>
      <w:sz w:val="18"/>
      <w:szCs w:val="18"/>
    </w:rPr>
  </w:style>
  <w:style w:type="character" w:customStyle="1" w:styleId="57">
    <w:name w:val="页眉 Char"/>
    <w:basedOn w:val="29"/>
    <w:link w:val="18"/>
    <w:qFormat/>
    <w:uiPriority w:val="0"/>
    <w:rPr>
      <w:kern w:val="2"/>
      <w:sz w:val="18"/>
      <w:szCs w:val="18"/>
    </w:rPr>
  </w:style>
  <w:style w:type="paragraph" w:customStyle="1" w:styleId="58">
    <w:name w:val="无间隔1"/>
    <w:basedOn w:val="1"/>
    <w:qFormat/>
    <w:uiPriority w:val="0"/>
    <w:pPr>
      <w:spacing w:line="400" w:lineRule="exact"/>
    </w:pPr>
    <w:rPr>
      <w:sz w:val="24"/>
    </w:rPr>
  </w:style>
  <w:style w:type="paragraph" w:customStyle="1" w:styleId="59">
    <w:name w:val="页脚1"/>
    <w:basedOn w:val="1"/>
    <w:qFormat/>
    <w:uiPriority w:val="0"/>
    <w:pPr>
      <w:tabs>
        <w:tab w:val="center" w:pos="4153"/>
        <w:tab w:val="right" w:pos="8306"/>
      </w:tabs>
      <w:snapToGrid w:val="0"/>
      <w:jc w:val="left"/>
    </w:pPr>
    <w:rPr>
      <w:rFonts w:eastAsia="等线"/>
      <w:sz w:val="1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26189</Words>
  <Characters>28734</Characters>
  <Lines>303</Lines>
  <Paragraphs>85</Paragraphs>
  <TotalTime>1</TotalTime>
  <ScaleCrop>false</ScaleCrop>
  <LinksUpToDate>false</LinksUpToDate>
  <CharactersWithSpaces>29165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2024-05-11T01:27:00Z</dcterms:created>
  <dc:creator>爱ll</dc:creator>
  <cp:lastModifiedBy>陈鹏</cp:lastModifiedBy>
  <dcterms:modified xsi:type="dcterms:W3CDTF">2026-04-17T05:11:11Z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3FE4A51D13A64D00800545CFC48758C2_11</vt:lpwstr>
  </property>
  <property fmtid="{D5CDD505-2E9C-101B-9397-08002B2CF9AE}" pid="4" name="KSOTemplateDocerSaveRecord">
    <vt:lpwstr>eyJoZGlkIjoiZDcyNDFhYzdhNTg1MTlkODU5MzFiZTU0ZmY2YWQ5NWMiLCJ1c2VySWQiOiI0Nzk1MjAwMzcifQ==</vt:lpwstr>
  </property>
</Properties>
</file>