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DB9BC">
      <w:pPr>
        <w:widowControl w:val="0"/>
        <w:snapToGrid w:val="0"/>
        <w:spacing w:line="560" w:lineRule="exact"/>
        <w:ind w:firstLine="241" w:firstLineChars="50"/>
        <w:jc w:val="center"/>
        <w:rPr>
          <w:rFonts w:eastAsia="黑体"/>
          <w:b/>
          <w:spacing w:val="40"/>
          <w:sz w:val="40"/>
          <w:szCs w:val="40"/>
        </w:rPr>
      </w:pPr>
    </w:p>
    <w:p w14:paraId="6E903944">
      <w:pPr>
        <w:widowControl w:val="0"/>
        <w:snapToGrid w:val="0"/>
        <w:spacing w:line="560" w:lineRule="exact"/>
        <w:ind w:firstLine="241" w:firstLineChars="50"/>
        <w:jc w:val="center"/>
        <w:rPr>
          <w:rFonts w:eastAsia="黑体"/>
          <w:b/>
          <w:spacing w:val="40"/>
          <w:sz w:val="40"/>
          <w:szCs w:val="40"/>
        </w:rPr>
      </w:pPr>
    </w:p>
    <w:p w14:paraId="29260EA6">
      <w:pPr>
        <w:widowControl w:val="0"/>
        <w:snapToGrid w:val="0"/>
        <w:spacing w:line="560" w:lineRule="exact"/>
        <w:ind w:firstLine="241" w:firstLineChars="50"/>
        <w:jc w:val="center"/>
        <w:rPr>
          <w:rFonts w:eastAsia="黑体"/>
          <w:b/>
          <w:spacing w:val="40"/>
          <w:sz w:val="40"/>
          <w:szCs w:val="40"/>
        </w:rPr>
      </w:pPr>
    </w:p>
    <w:p w14:paraId="2BB389F3">
      <w:pPr>
        <w:widowControl w:val="0"/>
        <w:snapToGrid w:val="0"/>
        <w:spacing w:line="560" w:lineRule="exact"/>
        <w:ind w:firstLine="181" w:firstLineChars="50"/>
        <w:jc w:val="distribute"/>
        <w:rPr>
          <w:rFonts w:ascii="黑体" w:eastAsia="黑体"/>
          <w:b/>
          <w:color w:val="auto"/>
          <w:spacing w:val="40"/>
          <w:sz w:val="36"/>
          <w:szCs w:val="36"/>
        </w:rPr>
      </w:pPr>
      <w:r>
        <w:rPr>
          <w:rFonts w:hint="eastAsia" w:ascii="黑体" w:eastAsia="黑体"/>
          <w:b/>
          <w:color w:val="auto"/>
          <w:sz w:val="36"/>
          <w:szCs w:val="36"/>
        </w:rPr>
        <w:t>安阳市殷都区农业农村局2026年小麦“一喷三防”项目</w:t>
      </w:r>
    </w:p>
    <w:p w14:paraId="7803DC49">
      <w:pPr>
        <w:widowControl w:val="0"/>
        <w:snapToGrid w:val="0"/>
        <w:spacing w:line="560" w:lineRule="exact"/>
        <w:ind w:firstLine="261" w:firstLineChars="50"/>
        <w:jc w:val="center"/>
        <w:rPr>
          <w:rFonts w:ascii="黑体" w:eastAsia="黑体"/>
          <w:b/>
          <w:spacing w:val="40"/>
          <w:sz w:val="44"/>
          <w:szCs w:val="44"/>
        </w:rPr>
      </w:pPr>
    </w:p>
    <w:p w14:paraId="1DEE7787">
      <w:pPr>
        <w:widowControl w:val="0"/>
        <w:snapToGrid w:val="0"/>
        <w:spacing w:before="240" w:beforeLines="100" w:line="560" w:lineRule="exact"/>
        <w:jc w:val="center"/>
        <w:rPr>
          <w:rFonts w:eastAsia="黑体"/>
          <w:b/>
          <w:sz w:val="44"/>
        </w:rPr>
      </w:pPr>
    </w:p>
    <w:p w14:paraId="79761A9A">
      <w:pPr>
        <w:widowControl w:val="0"/>
        <w:snapToGrid w:val="0"/>
        <w:spacing w:before="240" w:beforeLines="100" w:line="240" w:lineRule="auto"/>
        <w:jc w:val="center"/>
        <w:rPr>
          <w:rFonts w:eastAsia="黑体"/>
          <w:b/>
          <w:sz w:val="44"/>
        </w:rPr>
      </w:pPr>
    </w:p>
    <w:p w14:paraId="060DA7CA">
      <w:pPr>
        <w:widowControl w:val="0"/>
        <w:snapToGrid w:val="0"/>
        <w:spacing w:before="240" w:beforeLines="100" w:line="240" w:lineRule="auto"/>
        <w:jc w:val="center"/>
        <w:rPr>
          <w:rFonts w:eastAsia="黑体"/>
          <w:b/>
          <w:sz w:val="44"/>
        </w:rPr>
      </w:pPr>
    </w:p>
    <w:p w14:paraId="60AD8B7F">
      <w:pPr>
        <w:widowControl w:val="0"/>
        <w:snapToGrid w:val="0"/>
        <w:spacing w:before="240" w:beforeLines="100" w:line="240" w:lineRule="auto"/>
        <w:jc w:val="center"/>
        <w:rPr>
          <w:rFonts w:ascii="华文新魏" w:hAnsi="微软雅黑" w:eastAsia="华文新魏"/>
          <w:b/>
          <w:color w:val="auto"/>
          <w:sz w:val="116"/>
          <w:szCs w:val="116"/>
        </w:rPr>
      </w:pPr>
      <w:r>
        <w:rPr>
          <w:rFonts w:hint="eastAsia" w:ascii="华文新魏" w:hAnsi="微软雅黑" w:eastAsia="华文新魏"/>
          <w:b/>
          <w:color w:val="auto"/>
          <w:sz w:val="116"/>
          <w:szCs w:val="116"/>
        </w:rPr>
        <w:t>谈</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判</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文</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件</w:t>
      </w:r>
    </w:p>
    <w:p w14:paraId="397BAD06">
      <w:pPr>
        <w:widowControl w:val="0"/>
        <w:snapToGrid w:val="0"/>
        <w:spacing w:before="240" w:beforeLines="100" w:line="560" w:lineRule="exact"/>
        <w:jc w:val="center"/>
        <w:rPr>
          <w:rFonts w:eastAsia="黑体"/>
          <w:b/>
          <w:color w:val="auto"/>
          <w:sz w:val="30"/>
          <w:szCs w:val="30"/>
        </w:rPr>
      </w:pPr>
      <w:r>
        <w:rPr>
          <w:rFonts w:hint="eastAsia" w:ascii="宋体" w:hAnsi="宋体"/>
          <w:color w:val="auto"/>
          <w:sz w:val="32"/>
          <w:szCs w:val="32"/>
        </w:rPr>
        <w:t>项目编号：</w:t>
      </w:r>
      <w:r>
        <w:rPr>
          <w:rFonts w:hint="eastAsia" w:ascii="宋体" w:hAnsi="宋体"/>
          <w:color w:val="auto"/>
          <w:sz w:val="32"/>
          <w:szCs w:val="32"/>
          <w:highlight w:val="none"/>
        </w:rPr>
        <w:t>殷竞谈-2026-6</w:t>
      </w:r>
    </w:p>
    <w:p w14:paraId="6EBE9BC5">
      <w:pPr>
        <w:widowControl w:val="0"/>
        <w:snapToGrid w:val="0"/>
        <w:spacing w:before="240" w:beforeLines="100" w:line="560" w:lineRule="exact"/>
        <w:jc w:val="center"/>
        <w:rPr>
          <w:rFonts w:ascii="宋体" w:hAnsi="宋体"/>
          <w:color w:val="auto"/>
          <w:sz w:val="32"/>
          <w:szCs w:val="32"/>
        </w:rPr>
      </w:pPr>
    </w:p>
    <w:p w14:paraId="0C88A2D9">
      <w:pPr>
        <w:widowControl w:val="0"/>
        <w:snapToGrid w:val="0"/>
        <w:spacing w:before="240" w:beforeLines="100" w:line="560" w:lineRule="exact"/>
        <w:jc w:val="center"/>
        <w:rPr>
          <w:rFonts w:eastAsia="黑体"/>
          <w:b/>
          <w:color w:val="auto"/>
          <w:sz w:val="44"/>
        </w:rPr>
      </w:pPr>
    </w:p>
    <w:p w14:paraId="25BBC0C5">
      <w:pPr>
        <w:widowControl w:val="0"/>
        <w:snapToGrid w:val="0"/>
        <w:spacing w:before="240" w:beforeLines="100" w:line="560" w:lineRule="exact"/>
        <w:jc w:val="center"/>
        <w:rPr>
          <w:rFonts w:eastAsia="黑体"/>
          <w:b/>
          <w:color w:val="auto"/>
          <w:sz w:val="44"/>
        </w:rPr>
      </w:pPr>
    </w:p>
    <w:p w14:paraId="6EEFEEC5">
      <w:pPr>
        <w:widowControl w:val="0"/>
        <w:snapToGrid w:val="0"/>
        <w:spacing w:before="240" w:beforeLines="100" w:line="560" w:lineRule="exact"/>
        <w:jc w:val="center"/>
        <w:rPr>
          <w:rFonts w:eastAsia="黑体"/>
          <w:b/>
          <w:color w:val="auto"/>
          <w:sz w:val="44"/>
        </w:rPr>
      </w:pPr>
    </w:p>
    <w:p w14:paraId="075A769D">
      <w:pPr>
        <w:widowControl w:val="0"/>
        <w:snapToGrid w:val="0"/>
        <w:spacing w:before="240" w:beforeLines="100" w:line="560" w:lineRule="exact"/>
        <w:rPr>
          <w:rFonts w:eastAsia="黑体"/>
          <w:b/>
          <w:color w:val="auto"/>
          <w:sz w:val="44"/>
        </w:rPr>
      </w:pPr>
    </w:p>
    <w:p w14:paraId="3460A90C">
      <w:pPr>
        <w:widowControl w:val="0"/>
        <w:snapToGrid w:val="0"/>
        <w:spacing w:line="660" w:lineRule="exact"/>
        <w:ind w:firstLine="540" w:firstLineChars="168"/>
        <w:rPr>
          <w:rFonts w:ascii="黑体" w:hAnsi="黑体" w:eastAsia="黑体"/>
          <w:b/>
          <w:color w:val="auto"/>
          <w:sz w:val="32"/>
          <w:szCs w:val="32"/>
        </w:rPr>
      </w:pPr>
      <w:r>
        <w:rPr>
          <w:rFonts w:hint="eastAsia" w:ascii="黑体" w:hAnsi="黑体" w:eastAsia="黑体"/>
          <w:b/>
          <w:color w:val="auto"/>
          <w:sz w:val="32"/>
          <w:szCs w:val="32"/>
        </w:rPr>
        <w:t>采购人：安阳市殷都区农业农村局</w:t>
      </w:r>
    </w:p>
    <w:p w14:paraId="0B5157E3">
      <w:pPr>
        <w:widowControl w:val="0"/>
        <w:snapToGrid w:val="0"/>
        <w:spacing w:line="660" w:lineRule="exact"/>
        <w:ind w:firstLine="540" w:firstLineChars="168"/>
        <w:rPr>
          <w:rFonts w:ascii="黑体" w:hAnsi="黑体" w:eastAsia="黑体"/>
          <w:b/>
          <w:color w:val="auto"/>
          <w:sz w:val="32"/>
          <w:szCs w:val="32"/>
        </w:rPr>
        <w:sectPr>
          <w:footerReference r:id="rId8" w:type="first"/>
          <w:headerReference r:id="rId5" w:type="default"/>
          <w:footerReference r:id="rId6" w:type="default"/>
          <w:footerReference r:id="rId7" w:type="even"/>
          <w:pgSz w:w="11905" w:h="16837"/>
          <w:pgMar w:top="1418" w:right="1106" w:bottom="1418" w:left="1418" w:header="567" w:footer="567" w:gutter="0"/>
          <w:pgBorders>
            <w:top w:val="none" w:sz="0" w:space="0"/>
            <w:left w:val="none" w:sz="0" w:space="0"/>
            <w:bottom w:val="none" w:sz="0" w:space="0"/>
            <w:right w:val="none" w:sz="0" w:space="0"/>
          </w:pgBorders>
          <w:pgNumType w:fmt="numberInDash" w:start="0"/>
          <w:cols w:space="720" w:num="1"/>
          <w:titlePg/>
        </w:sectPr>
      </w:pPr>
      <w:r>
        <w:rPr>
          <w:rFonts w:hint="eastAsia" w:ascii="黑体" w:hAnsi="黑体" w:eastAsia="黑体"/>
          <w:b/>
          <w:color w:val="auto"/>
          <w:sz w:val="32"/>
          <w:szCs w:val="32"/>
        </w:rPr>
        <w:t>代理机构：安阳市方正招标采购服务有限责任公司</w:t>
      </w:r>
    </w:p>
    <w:p w14:paraId="097BBFB6">
      <w:pPr>
        <w:widowControl w:val="0"/>
        <w:snapToGrid w:val="0"/>
        <w:spacing w:line="660" w:lineRule="exact"/>
        <w:ind w:firstLine="540" w:firstLineChars="168"/>
        <w:rPr>
          <w:rFonts w:ascii="黑体" w:hAnsi="黑体" w:eastAsia="黑体"/>
          <w:b/>
          <w:color w:val="auto"/>
          <w:sz w:val="32"/>
          <w:szCs w:val="32"/>
        </w:rPr>
      </w:pPr>
    </w:p>
    <w:p w14:paraId="76648709">
      <w:pPr>
        <w:pStyle w:val="50"/>
        <w:keepNext/>
        <w:keepLines/>
        <w:pageBreakBefore w:val="0"/>
        <w:widowControl/>
        <w:kinsoku/>
        <w:wordWrap/>
        <w:overflowPunct/>
        <w:topLinePunct w:val="0"/>
        <w:autoSpaceDE/>
        <w:autoSpaceDN/>
        <w:bidi w:val="0"/>
        <w:adjustRightInd/>
        <w:snapToGrid/>
        <w:spacing w:before="0" w:beforeLines="50" w:after="0" w:afterLines="50"/>
        <w:jc w:val="center"/>
        <w:textAlignment w:val="auto"/>
        <w:rPr>
          <w:rFonts w:ascii="Cambria" w:hAnsi="Cambria" w:eastAsia="宋体" w:cs="Times New Roman"/>
          <w:b/>
          <w:bCs/>
          <w:color w:val="365F91"/>
          <w:kern w:val="0"/>
          <w:sz w:val="28"/>
          <w:szCs w:val="28"/>
          <w:u w:color="000000"/>
          <w:lang w:val="en-US" w:eastAsia="zh-CN" w:bidi="ar-SA"/>
        </w:rPr>
      </w:pPr>
      <w:r>
        <w:rPr>
          <w:rFonts w:hint="eastAsia" w:ascii="黑体" w:hAnsi="黑体" w:eastAsia="黑体"/>
          <w:b/>
          <w:bCs/>
          <w:color w:val="auto"/>
          <w:sz w:val="36"/>
          <w:szCs w:val="36"/>
          <w:lang w:val="zh-CN"/>
        </w:rPr>
        <w:t>目</w:t>
      </w:r>
      <w:r>
        <w:rPr>
          <w:rFonts w:hint="eastAsia" w:ascii="黑体" w:hAnsi="黑体" w:eastAsia="黑体"/>
          <w:b/>
          <w:bCs/>
          <w:color w:val="auto"/>
          <w:sz w:val="36"/>
          <w:szCs w:val="36"/>
          <w:lang w:val="en-US" w:eastAsia="zh-CN"/>
        </w:rPr>
        <w:t xml:space="preserve">    </w:t>
      </w:r>
      <w:r>
        <w:rPr>
          <w:rFonts w:hint="eastAsia" w:ascii="黑体" w:hAnsi="黑体" w:eastAsia="黑体"/>
          <w:b/>
          <w:bCs/>
          <w:color w:val="auto"/>
          <w:sz w:val="36"/>
          <w:szCs w:val="36"/>
          <w:lang w:val="zh-CN"/>
        </w:rPr>
        <w:t>录</w:t>
      </w:r>
      <w:r>
        <w:rPr>
          <w:color w:val="auto"/>
        </w:rPr>
        <w:fldChar w:fldCharType="begin"/>
      </w:r>
      <w:r>
        <w:rPr>
          <w:color w:val="auto"/>
        </w:rPr>
        <w:instrText xml:space="preserve"> TOC \o "1-3" \h \z \u </w:instrText>
      </w:r>
      <w:r>
        <w:rPr>
          <w:color w:val="auto"/>
        </w:rPr>
        <w:fldChar w:fldCharType="separate"/>
      </w:r>
    </w:p>
    <w:p w14:paraId="53280F5F">
      <w:pPr>
        <w:pStyle w:val="11"/>
        <w:tabs>
          <w:tab w:val="right" w:leader="dot" w:pos="9381"/>
        </w:tabs>
        <w:rPr>
          <w:b/>
          <w:bCs/>
        </w:rPr>
      </w:pPr>
      <w:r>
        <w:rPr>
          <w:b/>
          <w:bCs/>
        </w:rPr>
        <w:fldChar w:fldCharType="begin"/>
      </w:r>
      <w:r>
        <w:rPr>
          <w:b/>
          <w:bCs/>
        </w:rPr>
        <w:instrText xml:space="preserve"> HYPERLINK \l _Toc9465 </w:instrText>
      </w:r>
      <w:r>
        <w:rPr>
          <w:b/>
          <w:bCs/>
        </w:rPr>
        <w:fldChar w:fldCharType="separate"/>
      </w:r>
      <w:r>
        <w:rPr>
          <w:rFonts w:hint="eastAsia" w:eastAsia="黑体"/>
          <w:b/>
          <w:bCs/>
          <w:szCs w:val="36"/>
        </w:rPr>
        <w:t>第一章</w:t>
      </w:r>
      <w:r>
        <w:rPr>
          <w:rFonts w:eastAsia="黑体"/>
          <w:b/>
          <w:bCs/>
          <w:szCs w:val="36"/>
        </w:rPr>
        <w:t xml:space="preserve"> </w:t>
      </w:r>
      <w:r>
        <w:rPr>
          <w:rFonts w:hint="eastAsia" w:eastAsia="黑体"/>
          <w:b/>
          <w:bCs/>
          <w:szCs w:val="36"/>
          <w:lang w:val="en-US" w:eastAsia="zh-CN"/>
        </w:rPr>
        <w:t xml:space="preserve"> </w:t>
      </w:r>
      <w:r>
        <w:rPr>
          <w:rFonts w:hint="eastAsia" w:eastAsia="黑体"/>
          <w:b/>
          <w:bCs/>
          <w:szCs w:val="36"/>
        </w:rPr>
        <w:t>谈判公告</w:t>
      </w:r>
      <w:r>
        <w:rPr>
          <w:b/>
          <w:bCs/>
        </w:rPr>
        <w:tab/>
      </w:r>
      <w:r>
        <w:rPr>
          <w:b/>
          <w:bCs/>
        </w:rPr>
        <w:fldChar w:fldCharType="begin"/>
      </w:r>
      <w:r>
        <w:rPr>
          <w:b/>
          <w:bCs/>
        </w:rPr>
        <w:instrText xml:space="preserve"> PAGEREF _Toc9465 \h </w:instrText>
      </w:r>
      <w:r>
        <w:rPr>
          <w:b/>
          <w:bCs/>
        </w:rPr>
        <w:fldChar w:fldCharType="separate"/>
      </w:r>
      <w:r>
        <w:rPr>
          <w:b/>
          <w:bCs/>
        </w:rPr>
        <w:t>- 1 -</w:t>
      </w:r>
      <w:r>
        <w:rPr>
          <w:b/>
          <w:bCs/>
        </w:rPr>
        <w:fldChar w:fldCharType="end"/>
      </w:r>
      <w:r>
        <w:rPr>
          <w:b/>
          <w:bCs/>
        </w:rPr>
        <w:fldChar w:fldCharType="end"/>
      </w:r>
    </w:p>
    <w:p w14:paraId="22471EC5">
      <w:pPr>
        <w:pStyle w:val="11"/>
        <w:tabs>
          <w:tab w:val="right" w:leader="dot" w:pos="9381"/>
        </w:tabs>
        <w:rPr>
          <w:b/>
          <w:bCs/>
        </w:rPr>
      </w:pPr>
      <w:r>
        <w:rPr>
          <w:b/>
          <w:bCs/>
        </w:rPr>
        <w:fldChar w:fldCharType="begin"/>
      </w:r>
      <w:r>
        <w:rPr>
          <w:b/>
          <w:bCs/>
        </w:rPr>
        <w:instrText xml:space="preserve"> HYPERLINK \l _Toc21060 </w:instrText>
      </w:r>
      <w:r>
        <w:rPr>
          <w:b/>
          <w:bCs/>
        </w:rPr>
        <w:fldChar w:fldCharType="separate"/>
      </w:r>
      <w:r>
        <w:rPr>
          <w:rFonts w:hint="eastAsia" w:ascii="Times New Roman" w:hAnsi="Times New Roman" w:eastAsia="黑体" w:cs="Times New Roman"/>
          <w:b/>
          <w:bCs/>
          <w:szCs w:val="36"/>
        </w:rPr>
        <w:t xml:space="preserve">第二章 </w:t>
      </w:r>
      <w:r>
        <w:rPr>
          <w:rFonts w:hint="eastAsia" w:ascii="Times New Roman" w:hAnsi="Times New Roman" w:eastAsia="黑体" w:cs="Times New Roman"/>
          <w:b/>
          <w:bCs/>
          <w:szCs w:val="36"/>
          <w:lang w:val="en-US" w:eastAsia="zh-CN"/>
        </w:rPr>
        <w:t xml:space="preserve"> </w:t>
      </w:r>
      <w:r>
        <w:rPr>
          <w:rFonts w:hint="eastAsia" w:ascii="Times New Roman" w:hAnsi="Times New Roman" w:eastAsia="黑体" w:cs="Times New Roman"/>
          <w:b/>
          <w:bCs/>
          <w:szCs w:val="36"/>
        </w:rPr>
        <w:t>采购项目及服务要求</w:t>
      </w:r>
      <w:r>
        <w:rPr>
          <w:b/>
          <w:bCs/>
        </w:rPr>
        <w:tab/>
      </w:r>
      <w:r>
        <w:rPr>
          <w:b/>
          <w:bCs/>
        </w:rPr>
        <w:fldChar w:fldCharType="begin"/>
      </w:r>
      <w:r>
        <w:rPr>
          <w:b/>
          <w:bCs/>
        </w:rPr>
        <w:instrText xml:space="preserve"> PAGEREF _Toc21060 \h </w:instrText>
      </w:r>
      <w:r>
        <w:rPr>
          <w:b/>
          <w:bCs/>
        </w:rPr>
        <w:fldChar w:fldCharType="separate"/>
      </w:r>
      <w:r>
        <w:rPr>
          <w:b/>
          <w:bCs/>
        </w:rPr>
        <w:t>- 6 -</w:t>
      </w:r>
      <w:r>
        <w:rPr>
          <w:b/>
          <w:bCs/>
        </w:rPr>
        <w:fldChar w:fldCharType="end"/>
      </w:r>
      <w:r>
        <w:rPr>
          <w:b/>
          <w:bCs/>
        </w:rPr>
        <w:fldChar w:fldCharType="end"/>
      </w:r>
    </w:p>
    <w:p w14:paraId="55F7304B">
      <w:pPr>
        <w:pStyle w:val="12"/>
        <w:tabs>
          <w:tab w:val="right" w:leader="dot" w:pos="9381"/>
        </w:tabs>
        <w:rPr>
          <w:b/>
          <w:bCs/>
        </w:rPr>
      </w:pPr>
      <w:r>
        <w:rPr>
          <w:b/>
          <w:bCs/>
        </w:rPr>
        <w:fldChar w:fldCharType="begin"/>
      </w:r>
      <w:r>
        <w:rPr>
          <w:b/>
          <w:bCs/>
        </w:rPr>
        <w:instrText xml:space="preserve"> HYPERLINK \l _Toc29354 </w:instrText>
      </w:r>
      <w:r>
        <w:rPr>
          <w:b/>
          <w:bCs/>
        </w:rPr>
        <w:fldChar w:fldCharType="separate"/>
      </w:r>
      <w:r>
        <w:rPr>
          <w:rFonts w:ascii="黑体" w:hAnsi="黑体" w:eastAsia="黑体"/>
          <w:b/>
          <w:bCs/>
        </w:rPr>
        <w:t xml:space="preserve">1. </w:t>
      </w:r>
      <w:r>
        <w:rPr>
          <w:rFonts w:hint="eastAsia" w:ascii="黑体" w:hAnsi="黑体" w:eastAsia="黑体"/>
          <w:b/>
          <w:bCs/>
        </w:rPr>
        <w:t>采购项目、标段（包）划分、投标报价</w:t>
      </w:r>
      <w:r>
        <w:rPr>
          <w:b/>
          <w:bCs/>
        </w:rPr>
        <w:tab/>
      </w:r>
      <w:r>
        <w:rPr>
          <w:b/>
          <w:bCs/>
        </w:rPr>
        <w:fldChar w:fldCharType="begin"/>
      </w:r>
      <w:r>
        <w:rPr>
          <w:b/>
          <w:bCs/>
        </w:rPr>
        <w:instrText xml:space="preserve"> PAGEREF _Toc29354 \h </w:instrText>
      </w:r>
      <w:r>
        <w:rPr>
          <w:b/>
          <w:bCs/>
        </w:rPr>
        <w:fldChar w:fldCharType="separate"/>
      </w:r>
      <w:r>
        <w:rPr>
          <w:b/>
          <w:bCs/>
        </w:rPr>
        <w:t>- 6 -</w:t>
      </w:r>
      <w:r>
        <w:rPr>
          <w:b/>
          <w:bCs/>
        </w:rPr>
        <w:fldChar w:fldCharType="end"/>
      </w:r>
      <w:r>
        <w:rPr>
          <w:b/>
          <w:bCs/>
        </w:rPr>
        <w:fldChar w:fldCharType="end"/>
      </w:r>
    </w:p>
    <w:p w14:paraId="1ECF3755">
      <w:pPr>
        <w:pStyle w:val="12"/>
        <w:tabs>
          <w:tab w:val="right" w:leader="dot" w:pos="9381"/>
        </w:tabs>
        <w:rPr>
          <w:b/>
          <w:bCs/>
        </w:rPr>
      </w:pPr>
      <w:r>
        <w:rPr>
          <w:b/>
          <w:bCs/>
        </w:rPr>
        <w:fldChar w:fldCharType="begin"/>
      </w:r>
      <w:r>
        <w:rPr>
          <w:b/>
          <w:bCs/>
        </w:rPr>
        <w:instrText xml:space="preserve"> HYPERLINK \l _Toc19156 </w:instrText>
      </w:r>
      <w:r>
        <w:rPr>
          <w:b/>
          <w:bCs/>
        </w:rPr>
        <w:fldChar w:fldCharType="separate"/>
      </w:r>
      <w:r>
        <w:rPr>
          <w:rFonts w:ascii="黑体" w:hAnsi="黑体" w:eastAsia="黑体"/>
          <w:b/>
          <w:bCs/>
        </w:rPr>
        <w:t xml:space="preserve">2. </w:t>
      </w:r>
      <w:r>
        <w:rPr>
          <w:rFonts w:hint="eastAsia" w:ascii="黑体" w:hAnsi="黑体" w:eastAsia="黑体"/>
          <w:b/>
          <w:bCs/>
        </w:rPr>
        <w:t>标段（包）内容（范围）及服务要求</w:t>
      </w:r>
      <w:r>
        <w:rPr>
          <w:b/>
          <w:bCs/>
        </w:rPr>
        <w:tab/>
      </w:r>
      <w:r>
        <w:rPr>
          <w:b/>
          <w:bCs/>
        </w:rPr>
        <w:fldChar w:fldCharType="begin"/>
      </w:r>
      <w:r>
        <w:rPr>
          <w:b/>
          <w:bCs/>
        </w:rPr>
        <w:instrText xml:space="preserve"> PAGEREF _Toc19156 \h </w:instrText>
      </w:r>
      <w:r>
        <w:rPr>
          <w:b/>
          <w:bCs/>
        </w:rPr>
        <w:fldChar w:fldCharType="separate"/>
      </w:r>
      <w:r>
        <w:rPr>
          <w:b/>
          <w:bCs/>
        </w:rPr>
        <w:t>- 7 -</w:t>
      </w:r>
      <w:r>
        <w:rPr>
          <w:b/>
          <w:bCs/>
        </w:rPr>
        <w:fldChar w:fldCharType="end"/>
      </w:r>
      <w:r>
        <w:rPr>
          <w:b/>
          <w:bCs/>
        </w:rPr>
        <w:fldChar w:fldCharType="end"/>
      </w:r>
    </w:p>
    <w:p w14:paraId="77321A2B">
      <w:pPr>
        <w:pStyle w:val="11"/>
        <w:tabs>
          <w:tab w:val="right" w:leader="dot" w:pos="9381"/>
        </w:tabs>
        <w:rPr>
          <w:b/>
          <w:bCs/>
        </w:rPr>
      </w:pPr>
      <w:r>
        <w:rPr>
          <w:b/>
          <w:bCs/>
        </w:rPr>
        <w:fldChar w:fldCharType="begin"/>
      </w:r>
      <w:r>
        <w:rPr>
          <w:b/>
          <w:bCs/>
        </w:rPr>
        <w:instrText xml:space="preserve"> HYPERLINK \l _Toc16308 </w:instrText>
      </w:r>
      <w:r>
        <w:rPr>
          <w:b/>
          <w:bCs/>
        </w:rPr>
        <w:fldChar w:fldCharType="separate"/>
      </w:r>
      <w:r>
        <w:rPr>
          <w:rFonts w:hint="eastAsia" w:ascii="Times New Roman" w:hAnsi="Times New Roman" w:eastAsia="黑体" w:cs="Times New Roman"/>
          <w:b/>
          <w:bCs/>
          <w:szCs w:val="36"/>
          <w:lang w:val="en-US" w:eastAsia="zh-CN"/>
        </w:rPr>
        <w:t xml:space="preserve">第三章  </w:t>
      </w:r>
      <w:r>
        <w:rPr>
          <w:rFonts w:hint="eastAsia" w:ascii="Times New Roman" w:hAnsi="Times New Roman" w:eastAsia="黑体" w:cs="Times New Roman"/>
          <w:b/>
          <w:bCs/>
          <w:szCs w:val="36"/>
        </w:rPr>
        <w:t>投标人须知</w:t>
      </w:r>
      <w:r>
        <w:rPr>
          <w:b/>
          <w:bCs/>
        </w:rPr>
        <w:tab/>
      </w:r>
      <w:r>
        <w:rPr>
          <w:b/>
          <w:bCs/>
        </w:rPr>
        <w:fldChar w:fldCharType="begin"/>
      </w:r>
      <w:r>
        <w:rPr>
          <w:b/>
          <w:bCs/>
        </w:rPr>
        <w:instrText xml:space="preserve"> PAGEREF _Toc16308 \h </w:instrText>
      </w:r>
      <w:r>
        <w:rPr>
          <w:b/>
          <w:bCs/>
        </w:rPr>
        <w:fldChar w:fldCharType="separate"/>
      </w:r>
      <w:r>
        <w:rPr>
          <w:b/>
          <w:bCs/>
        </w:rPr>
        <w:t>- 11 -</w:t>
      </w:r>
      <w:r>
        <w:rPr>
          <w:b/>
          <w:bCs/>
        </w:rPr>
        <w:fldChar w:fldCharType="end"/>
      </w:r>
      <w:r>
        <w:rPr>
          <w:b/>
          <w:bCs/>
        </w:rPr>
        <w:fldChar w:fldCharType="end"/>
      </w:r>
    </w:p>
    <w:p w14:paraId="4DB193BA">
      <w:pPr>
        <w:pStyle w:val="12"/>
        <w:tabs>
          <w:tab w:val="right" w:leader="dot" w:pos="9381"/>
        </w:tabs>
        <w:rPr>
          <w:b/>
          <w:bCs/>
        </w:rPr>
      </w:pPr>
      <w:r>
        <w:rPr>
          <w:b/>
          <w:bCs/>
        </w:rPr>
        <w:fldChar w:fldCharType="begin"/>
      </w:r>
      <w:r>
        <w:rPr>
          <w:b/>
          <w:bCs/>
        </w:rPr>
        <w:instrText xml:space="preserve"> HYPERLINK \l _Toc11435 </w:instrText>
      </w:r>
      <w:r>
        <w:rPr>
          <w:b/>
          <w:bCs/>
        </w:rPr>
        <w:fldChar w:fldCharType="separate"/>
      </w:r>
      <w:r>
        <w:rPr>
          <w:rFonts w:hint="eastAsia" w:eastAsia="黑体"/>
          <w:b/>
          <w:bCs/>
          <w:szCs w:val="28"/>
        </w:rPr>
        <w:t>投标人须知前附表</w:t>
      </w:r>
      <w:r>
        <w:rPr>
          <w:b/>
          <w:bCs/>
        </w:rPr>
        <w:tab/>
      </w:r>
      <w:r>
        <w:rPr>
          <w:b/>
          <w:bCs/>
        </w:rPr>
        <w:fldChar w:fldCharType="begin"/>
      </w:r>
      <w:r>
        <w:rPr>
          <w:b/>
          <w:bCs/>
        </w:rPr>
        <w:instrText xml:space="preserve"> PAGEREF _Toc11435 \h </w:instrText>
      </w:r>
      <w:r>
        <w:rPr>
          <w:b/>
          <w:bCs/>
        </w:rPr>
        <w:fldChar w:fldCharType="separate"/>
      </w:r>
      <w:r>
        <w:rPr>
          <w:b/>
          <w:bCs/>
        </w:rPr>
        <w:t>- 11 -</w:t>
      </w:r>
      <w:r>
        <w:rPr>
          <w:b/>
          <w:bCs/>
        </w:rPr>
        <w:fldChar w:fldCharType="end"/>
      </w:r>
      <w:r>
        <w:rPr>
          <w:b/>
          <w:bCs/>
        </w:rPr>
        <w:fldChar w:fldCharType="end"/>
      </w:r>
    </w:p>
    <w:p w14:paraId="128DA427">
      <w:pPr>
        <w:pStyle w:val="12"/>
        <w:tabs>
          <w:tab w:val="right" w:leader="dot" w:pos="9381"/>
        </w:tabs>
        <w:rPr>
          <w:b/>
          <w:bCs/>
        </w:rPr>
      </w:pPr>
      <w:r>
        <w:rPr>
          <w:b/>
          <w:bCs/>
        </w:rPr>
        <w:fldChar w:fldCharType="begin"/>
      </w:r>
      <w:r>
        <w:rPr>
          <w:b/>
          <w:bCs/>
        </w:rPr>
        <w:instrText xml:space="preserve"> HYPERLINK \l _Toc30702 </w:instrText>
      </w:r>
      <w:r>
        <w:rPr>
          <w:b/>
          <w:bCs/>
        </w:rPr>
        <w:fldChar w:fldCharType="separate"/>
      </w:r>
      <w:r>
        <w:rPr>
          <w:rFonts w:ascii="黑体" w:hAnsi="黑体" w:eastAsia="黑体" w:cs="楷体_GB2312"/>
          <w:b/>
          <w:bCs/>
          <w:szCs w:val="28"/>
          <w:lang w:val="zh-CN"/>
        </w:rPr>
        <w:t xml:space="preserve">1. </w:t>
      </w:r>
      <w:r>
        <w:rPr>
          <w:rFonts w:hint="eastAsia" w:ascii="黑体" w:hAnsi="黑体" w:eastAsia="黑体" w:cs="楷体_GB2312"/>
          <w:b/>
          <w:bCs/>
          <w:szCs w:val="28"/>
          <w:lang w:val="zh-CN"/>
        </w:rPr>
        <w:t>总则</w:t>
      </w:r>
      <w:r>
        <w:rPr>
          <w:b/>
          <w:bCs/>
        </w:rPr>
        <w:tab/>
      </w:r>
      <w:r>
        <w:rPr>
          <w:b/>
          <w:bCs/>
        </w:rPr>
        <w:fldChar w:fldCharType="begin"/>
      </w:r>
      <w:r>
        <w:rPr>
          <w:b/>
          <w:bCs/>
        </w:rPr>
        <w:instrText xml:space="preserve"> PAGEREF _Toc30702 \h </w:instrText>
      </w:r>
      <w:r>
        <w:rPr>
          <w:b/>
          <w:bCs/>
        </w:rPr>
        <w:fldChar w:fldCharType="separate"/>
      </w:r>
      <w:r>
        <w:rPr>
          <w:b/>
          <w:bCs/>
        </w:rPr>
        <w:t>- 14 -</w:t>
      </w:r>
      <w:r>
        <w:rPr>
          <w:b/>
          <w:bCs/>
        </w:rPr>
        <w:fldChar w:fldCharType="end"/>
      </w:r>
      <w:r>
        <w:rPr>
          <w:b/>
          <w:bCs/>
        </w:rPr>
        <w:fldChar w:fldCharType="end"/>
      </w:r>
    </w:p>
    <w:p w14:paraId="4617B9B0">
      <w:pPr>
        <w:pStyle w:val="12"/>
        <w:tabs>
          <w:tab w:val="right" w:leader="dot" w:pos="9381"/>
        </w:tabs>
        <w:rPr>
          <w:b/>
          <w:bCs/>
        </w:rPr>
      </w:pPr>
      <w:r>
        <w:rPr>
          <w:b/>
          <w:bCs/>
        </w:rPr>
        <w:fldChar w:fldCharType="begin"/>
      </w:r>
      <w:r>
        <w:rPr>
          <w:b/>
          <w:bCs/>
        </w:rPr>
        <w:instrText xml:space="preserve"> HYPERLINK \l _Toc16608 </w:instrText>
      </w:r>
      <w:r>
        <w:rPr>
          <w:b/>
          <w:bCs/>
        </w:rPr>
        <w:fldChar w:fldCharType="separate"/>
      </w:r>
      <w:r>
        <w:rPr>
          <w:rFonts w:ascii="黑体" w:hAnsi="黑体" w:eastAsia="黑体" w:cs="楷体_GB2312"/>
          <w:b/>
          <w:bCs/>
          <w:szCs w:val="28"/>
          <w:lang w:val="zh-CN"/>
        </w:rPr>
        <w:t>2.</w:t>
      </w:r>
      <w:r>
        <w:rPr>
          <w:rFonts w:hint="eastAsia" w:ascii="黑体" w:hAnsi="黑体" w:eastAsia="黑体" w:cs="楷体_GB2312"/>
          <w:b/>
          <w:bCs/>
          <w:szCs w:val="28"/>
          <w:lang w:val="zh-CN"/>
        </w:rPr>
        <w:t>《谈判文件》</w:t>
      </w:r>
      <w:r>
        <w:rPr>
          <w:b/>
          <w:bCs/>
        </w:rPr>
        <w:tab/>
      </w:r>
      <w:r>
        <w:rPr>
          <w:b/>
          <w:bCs/>
        </w:rPr>
        <w:fldChar w:fldCharType="begin"/>
      </w:r>
      <w:r>
        <w:rPr>
          <w:b/>
          <w:bCs/>
        </w:rPr>
        <w:instrText xml:space="preserve"> PAGEREF _Toc16608 \h </w:instrText>
      </w:r>
      <w:r>
        <w:rPr>
          <w:b/>
          <w:bCs/>
        </w:rPr>
        <w:fldChar w:fldCharType="separate"/>
      </w:r>
      <w:r>
        <w:rPr>
          <w:b/>
          <w:bCs/>
        </w:rPr>
        <w:t>- 17 -</w:t>
      </w:r>
      <w:r>
        <w:rPr>
          <w:b/>
          <w:bCs/>
        </w:rPr>
        <w:fldChar w:fldCharType="end"/>
      </w:r>
      <w:r>
        <w:rPr>
          <w:b/>
          <w:bCs/>
        </w:rPr>
        <w:fldChar w:fldCharType="end"/>
      </w:r>
    </w:p>
    <w:p w14:paraId="60EC2F18">
      <w:pPr>
        <w:pStyle w:val="12"/>
        <w:tabs>
          <w:tab w:val="right" w:leader="dot" w:pos="9381"/>
        </w:tabs>
        <w:rPr>
          <w:b/>
          <w:bCs/>
        </w:rPr>
      </w:pPr>
      <w:r>
        <w:rPr>
          <w:b/>
          <w:bCs/>
        </w:rPr>
        <w:fldChar w:fldCharType="begin"/>
      </w:r>
      <w:r>
        <w:rPr>
          <w:b/>
          <w:bCs/>
        </w:rPr>
        <w:instrText xml:space="preserve"> HYPERLINK \l _Toc581 </w:instrText>
      </w:r>
      <w:r>
        <w:rPr>
          <w:b/>
          <w:bCs/>
        </w:rPr>
        <w:fldChar w:fldCharType="separate"/>
      </w:r>
      <w:r>
        <w:rPr>
          <w:rFonts w:ascii="黑体" w:hAnsi="黑体" w:eastAsia="黑体" w:cs="楷体_GB2312"/>
          <w:b/>
          <w:bCs/>
          <w:szCs w:val="28"/>
          <w:lang w:val="zh-CN"/>
        </w:rPr>
        <w:t>3.</w:t>
      </w:r>
      <w:r>
        <w:rPr>
          <w:rFonts w:hint="eastAsia" w:ascii="黑体" w:hAnsi="黑体" w:eastAsia="黑体" w:cs="楷体_GB2312"/>
          <w:b/>
          <w:bCs/>
          <w:szCs w:val="28"/>
          <w:lang w:val="zh-CN"/>
        </w:rPr>
        <w:t>《响应文件》</w:t>
      </w:r>
      <w:r>
        <w:rPr>
          <w:b/>
          <w:bCs/>
        </w:rPr>
        <w:tab/>
      </w:r>
      <w:r>
        <w:rPr>
          <w:b/>
          <w:bCs/>
        </w:rPr>
        <w:fldChar w:fldCharType="begin"/>
      </w:r>
      <w:r>
        <w:rPr>
          <w:b/>
          <w:bCs/>
        </w:rPr>
        <w:instrText xml:space="preserve"> PAGEREF _Toc581 \h </w:instrText>
      </w:r>
      <w:r>
        <w:rPr>
          <w:b/>
          <w:bCs/>
        </w:rPr>
        <w:fldChar w:fldCharType="separate"/>
      </w:r>
      <w:r>
        <w:rPr>
          <w:b/>
          <w:bCs/>
        </w:rPr>
        <w:t>- 18 -</w:t>
      </w:r>
      <w:r>
        <w:rPr>
          <w:b/>
          <w:bCs/>
        </w:rPr>
        <w:fldChar w:fldCharType="end"/>
      </w:r>
      <w:r>
        <w:rPr>
          <w:b/>
          <w:bCs/>
        </w:rPr>
        <w:fldChar w:fldCharType="end"/>
      </w:r>
    </w:p>
    <w:p w14:paraId="4A2DC299">
      <w:pPr>
        <w:pStyle w:val="12"/>
        <w:tabs>
          <w:tab w:val="right" w:leader="dot" w:pos="9381"/>
        </w:tabs>
        <w:rPr>
          <w:b/>
          <w:bCs/>
        </w:rPr>
      </w:pPr>
      <w:r>
        <w:rPr>
          <w:b/>
          <w:bCs/>
        </w:rPr>
        <w:fldChar w:fldCharType="begin"/>
      </w:r>
      <w:r>
        <w:rPr>
          <w:b/>
          <w:bCs/>
        </w:rPr>
        <w:instrText xml:space="preserve"> HYPERLINK \l _Toc21526 </w:instrText>
      </w:r>
      <w:r>
        <w:rPr>
          <w:b/>
          <w:bCs/>
        </w:rPr>
        <w:fldChar w:fldCharType="separate"/>
      </w:r>
      <w:r>
        <w:rPr>
          <w:rFonts w:ascii="黑体" w:hAnsi="黑体" w:eastAsia="黑体" w:cs="楷体_GB2312"/>
          <w:b/>
          <w:bCs/>
          <w:szCs w:val="28"/>
          <w:lang w:val="zh-CN"/>
        </w:rPr>
        <w:t xml:space="preserve">4. </w:t>
      </w:r>
      <w:r>
        <w:rPr>
          <w:rFonts w:hint="eastAsia" w:ascii="黑体" w:hAnsi="黑体" w:eastAsia="黑体" w:cs="楷体_GB2312"/>
          <w:b/>
          <w:bCs/>
          <w:szCs w:val="28"/>
          <w:lang w:val="zh-CN"/>
        </w:rPr>
        <w:t>投标（《响应文件》的递交）</w:t>
      </w:r>
      <w:r>
        <w:rPr>
          <w:b/>
          <w:bCs/>
        </w:rPr>
        <w:tab/>
      </w:r>
      <w:r>
        <w:rPr>
          <w:b/>
          <w:bCs/>
        </w:rPr>
        <w:fldChar w:fldCharType="begin"/>
      </w:r>
      <w:r>
        <w:rPr>
          <w:b/>
          <w:bCs/>
        </w:rPr>
        <w:instrText xml:space="preserve"> PAGEREF _Toc21526 \h </w:instrText>
      </w:r>
      <w:r>
        <w:rPr>
          <w:b/>
          <w:bCs/>
        </w:rPr>
        <w:fldChar w:fldCharType="separate"/>
      </w:r>
      <w:r>
        <w:rPr>
          <w:b/>
          <w:bCs/>
        </w:rPr>
        <w:t>- 21 -</w:t>
      </w:r>
      <w:r>
        <w:rPr>
          <w:b/>
          <w:bCs/>
        </w:rPr>
        <w:fldChar w:fldCharType="end"/>
      </w:r>
      <w:r>
        <w:rPr>
          <w:b/>
          <w:bCs/>
        </w:rPr>
        <w:fldChar w:fldCharType="end"/>
      </w:r>
    </w:p>
    <w:p w14:paraId="42720BCE">
      <w:pPr>
        <w:pStyle w:val="12"/>
        <w:tabs>
          <w:tab w:val="right" w:leader="dot" w:pos="9381"/>
        </w:tabs>
        <w:rPr>
          <w:b/>
          <w:bCs/>
        </w:rPr>
      </w:pPr>
      <w:r>
        <w:rPr>
          <w:b/>
          <w:bCs/>
        </w:rPr>
        <w:fldChar w:fldCharType="begin"/>
      </w:r>
      <w:r>
        <w:rPr>
          <w:b/>
          <w:bCs/>
        </w:rPr>
        <w:instrText xml:space="preserve"> HYPERLINK \l _Toc7317 </w:instrText>
      </w:r>
      <w:r>
        <w:rPr>
          <w:b/>
          <w:bCs/>
        </w:rPr>
        <w:fldChar w:fldCharType="separate"/>
      </w:r>
      <w:r>
        <w:rPr>
          <w:rFonts w:ascii="黑体" w:hAnsi="黑体" w:eastAsia="黑体" w:cs="楷体_GB2312"/>
          <w:b/>
          <w:bCs/>
          <w:szCs w:val="28"/>
          <w:lang w:val="zh-CN"/>
        </w:rPr>
        <w:t xml:space="preserve">5. </w:t>
      </w:r>
      <w:r>
        <w:rPr>
          <w:rFonts w:hint="eastAsia" w:ascii="黑体" w:hAnsi="黑体" w:eastAsia="黑体" w:cs="楷体_GB2312"/>
          <w:b/>
          <w:bCs/>
          <w:szCs w:val="28"/>
          <w:lang w:val="zh-CN"/>
        </w:rPr>
        <w:t>开标（《响应文件》的开启）</w:t>
      </w:r>
      <w:r>
        <w:rPr>
          <w:b/>
          <w:bCs/>
        </w:rPr>
        <w:tab/>
      </w:r>
      <w:r>
        <w:rPr>
          <w:b/>
          <w:bCs/>
        </w:rPr>
        <w:fldChar w:fldCharType="begin"/>
      </w:r>
      <w:r>
        <w:rPr>
          <w:b/>
          <w:bCs/>
        </w:rPr>
        <w:instrText xml:space="preserve"> PAGEREF _Toc7317 \h </w:instrText>
      </w:r>
      <w:r>
        <w:rPr>
          <w:b/>
          <w:bCs/>
        </w:rPr>
        <w:fldChar w:fldCharType="separate"/>
      </w:r>
      <w:r>
        <w:rPr>
          <w:b/>
          <w:bCs/>
        </w:rPr>
        <w:t>- 22 -</w:t>
      </w:r>
      <w:r>
        <w:rPr>
          <w:b/>
          <w:bCs/>
        </w:rPr>
        <w:fldChar w:fldCharType="end"/>
      </w:r>
      <w:r>
        <w:rPr>
          <w:b/>
          <w:bCs/>
        </w:rPr>
        <w:fldChar w:fldCharType="end"/>
      </w:r>
    </w:p>
    <w:p w14:paraId="1E9E668C">
      <w:pPr>
        <w:pStyle w:val="12"/>
        <w:tabs>
          <w:tab w:val="right" w:leader="dot" w:pos="9381"/>
        </w:tabs>
        <w:rPr>
          <w:b/>
          <w:bCs/>
        </w:rPr>
      </w:pPr>
      <w:r>
        <w:rPr>
          <w:b/>
          <w:bCs/>
        </w:rPr>
        <w:fldChar w:fldCharType="begin"/>
      </w:r>
      <w:r>
        <w:rPr>
          <w:b/>
          <w:bCs/>
        </w:rPr>
        <w:instrText xml:space="preserve"> HYPERLINK \l _Toc18803 </w:instrText>
      </w:r>
      <w:r>
        <w:rPr>
          <w:b/>
          <w:bCs/>
        </w:rPr>
        <w:fldChar w:fldCharType="separate"/>
      </w:r>
      <w:r>
        <w:rPr>
          <w:rFonts w:ascii="黑体" w:hAnsi="黑体" w:eastAsia="黑体" w:cs="楷体_GB2312"/>
          <w:b/>
          <w:bCs/>
          <w:szCs w:val="28"/>
          <w:lang w:val="zh-CN"/>
        </w:rPr>
        <w:t xml:space="preserve">6. </w:t>
      </w:r>
      <w:r>
        <w:rPr>
          <w:rFonts w:hint="eastAsia" w:ascii="黑体" w:hAnsi="黑体" w:eastAsia="黑体" w:cs="楷体_GB2312"/>
          <w:b/>
          <w:bCs/>
          <w:szCs w:val="28"/>
          <w:lang w:val="zh-CN"/>
        </w:rPr>
        <w:t>评审</w:t>
      </w:r>
      <w:r>
        <w:rPr>
          <w:b/>
          <w:bCs/>
        </w:rPr>
        <w:tab/>
      </w:r>
      <w:r>
        <w:rPr>
          <w:b/>
          <w:bCs/>
        </w:rPr>
        <w:fldChar w:fldCharType="begin"/>
      </w:r>
      <w:r>
        <w:rPr>
          <w:b/>
          <w:bCs/>
        </w:rPr>
        <w:instrText xml:space="preserve"> PAGEREF _Toc18803 \h </w:instrText>
      </w:r>
      <w:r>
        <w:rPr>
          <w:b/>
          <w:bCs/>
        </w:rPr>
        <w:fldChar w:fldCharType="separate"/>
      </w:r>
      <w:r>
        <w:rPr>
          <w:b/>
          <w:bCs/>
        </w:rPr>
        <w:t>- 23 -</w:t>
      </w:r>
      <w:r>
        <w:rPr>
          <w:b/>
          <w:bCs/>
        </w:rPr>
        <w:fldChar w:fldCharType="end"/>
      </w:r>
      <w:r>
        <w:rPr>
          <w:b/>
          <w:bCs/>
        </w:rPr>
        <w:fldChar w:fldCharType="end"/>
      </w:r>
    </w:p>
    <w:p w14:paraId="4B52CA40">
      <w:pPr>
        <w:pStyle w:val="12"/>
        <w:tabs>
          <w:tab w:val="right" w:leader="dot" w:pos="9381"/>
        </w:tabs>
        <w:rPr>
          <w:b/>
          <w:bCs/>
        </w:rPr>
      </w:pPr>
      <w:r>
        <w:rPr>
          <w:b/>
          <w:bCs/>
        </w:rPr>
        <w:fldChar w:fldCharType="begin"/>
      </w:r>
      <w:r>
        <w:rPr>
          <w:b/>
          <w:bCs/>
        </w:rPr>
        <w:instrText xml:space="preserve"> HYPERLINK \l _Toc12092 </w:instrText>
      </w:r>
      <w:r>
        <w:rPr>
          <w:b/>
          <w:bCs/>
        </w:rPr>
        <w:fldChar w:fldCharType="separate"/>
      </w:r>
      <w:r>
        <w:rPr>
          <w:rFonts w:ascii="黑体" w:hAnsi="黑体" w:eastAsia="黑体" w:cs="楷体_GB2312"/>
          <w:b/>
          <w:bCs/>
          <w:szCs w:val="28"/>
          <w:lang w:val="zh-CN"/>
        </w:rPr>
        <w:t xml:space="preserve">7. </w:t>
      </w:r>
      <w:r>
        <w:rPr>
          <w:rFonts w:hint="eastAsia" w:ascii="黑体" w:hAnsi="黑体" w:eastAsia="黑体" w:cs="楷体_GB2312"/>
          <w:b/>
          <w:bCs/>
          <w:szCs w:val="28"/>
          <w:lang w:val="zh-CN"/>
        </w:rPr>
        <w:t>授予合同</w:t>
      </w:r>
      <w:r>
        <w:rPr>
          <w:b/>
          <w:bCs/>
        </w:rPr>
        <w:tab/>
      </w:r>
      <w:r>
        <w:rPr>
          <w:b/>
          <w:bCs/>
        </w:rPr>
        <w:fldChar w:fldCharType="begin"/>
      </w:r>
      <w:r>
        <w:rPr>
          <w:b/>
          <w:bCs/>
        </w:rPr>
        <w:instrText xml:space="preserve"> PAGEREF _Toc12092 \h </w:instrText>
      </w:r>
      <w:r>
        <w:rPr>
          <w:b/>
          <w:bCs/>
        </w:rPr>
        <w:fldChar w:fldCharType="separate"/>
      </w:r>
      <w:r>
        <w:rPr>
          <w:b/>
          <w:bCs/>
        </w:rPr>
        <w:t>- 23 -</w:t>
      </w:r>
      <w:r>
        <w:rPr>
          <w:b/>
          <w:bCs/>
        </w:rPr>
        <w:fldChar w:fldCharType="end"/>
      </w:r>
      <w:r>
        <w:rPr>
          <w:b/>
          <w:bCs/>
        </w:rPr>
        <w:fldChar w:fldCharType="end"/>
      </w:r>
    </w:p>
    <w:p w14:paraId="13144CBD">
      <w:pPr>
        <w:pStyle w:val="12"/>
        <w:tabs>
          <w:tab w:val="right" w:leader="dot" w:pos="9381"/>
        </w:tabs>
        <w:rPr>
          <w:b/>
          <w:bCs/>
        </w:rPr>
      </w:pPr>
      <w:r>
        <w:rPr>
          <w:b/>
          <w:bCs/>
        </w:rPr>
        <w:fldChar w:fldCharType="begin"/>
      </w:r>
      <w:r>
        <w:rPr>
          <w:b/>
          <w:bCs/>
        </w:rPr>
        <w:instrText xml:space="preserve"> HYPERLINK \l _Toc31331 </w:instrText>
      </w:r>
      <w:r>
        <w:rPr>
          <w:b/>
          <w:bCs/>
        </w:rPr>
        <w:fldChar w:fldCharType="separate"/>
      </w:r>
      <w:r>
        <w:rPr>
          <w:rFonts w:ascii="黑体" w:hAnsi="黑体" w:eastAsia="黑体" w:cs="楷体_GB2312"/>
          <w:b/>
          <w:bCs/>
          <w:szCs w:val="28"/>
          <w:lang w:val="zh-CN"/>
        </w:rPr>
        <w:t xml:space="preserve">8. </w:t>
      </w:r>
      <w:r>
        <w:rPr>
          <w:rFonts w:hint="eastAsia" w:ascii="黑体" w:hAnsi="黑体" w:eastAsia="黑体" w:cs="楷体_GB2312"/>
          <w:b/>
          <w:bCs/>
          <w:szCs w:val="28"/>
          <w:lang w:val="zh-CN"/>
        </w:rPr>
        <w:t>验收</w:t>
      </w:r>
      <w:r>
        <w:rPr>
          <w:b/>
          <w:bCs/>
        </w:rPr>
        <w:tab/>
      </w:r>
      <w:r>
        <w:rPr>
          <w:b/>
          <w:bCs/>
        </w:rPr>
        <w:fldChar w:fldCharType="begin"/>
      </w:r>
      <w:r>
        <w:rPr>
          <w:b/>
          <w:bCs/>
        </w:rPr>
        <w:instrText xml:space="preserve"> PAGEREF _Toc31331 \h </w:instrText>
      </w:r>
      <w:r>
        <w:rPr>
          <w:b/>
          <w:bCs/>
        </w:rPr>
        <w:fldChar w:fldCharType="separate"/>
      </w:r>
      <w:r>
        <w:rPr>
          <w:b/>
          <w:bCs/>
        </w:rPr>
        <w:t>- 25 -</w:t>
      </w:r>
      <w:r>
        <w:rPr>
          <w:b/>
          <w:bCs/>
        </w:rPr>
        <w:fldChar w:fldCharType="end"/>
      </w:r>
      <w:r>
        <w:rPr>
          <w:b/>
          <w:bCs/>
        </w:rPr>
        <w:fldChar w:fldCharType="end"/>
      </w:r>
    </w:p>
    <w:p w14:paraId="1293D8C6">
      <w:pPr>
        <w:pStyle w:val="12"/>
        <w:tabs>
          <w:tab w:val="right" w:leader="dot" w:pos="9381"/>
        </w:tabs>
        <w:rPr>
          <w:b/>
          <w:bCs/>
        </w:rPr>
      </w:pPr>
      <w:r>
        <w:rPr>
          <w:b/>
          <w:bCs/>
        </w:rPr>
        <w:fldChar w:fldCharType="begin"/>
      </w:r>
      <w:r>
        <w:rPr>
          <w:b/>
          <w:bCs/>
        </w:rPr>
        <w:instrText xml:space="preserve"> HYPERLINK \l _Toc7767 </w:instrText>
      </w:r>
      <w:r>
        <w:rPr>
          <w:b/>
          <w:bCs/>
        </w:rPr>
        <w:fldChar w:fldCharType="separate"/>
      </w:r>
      <w:r>
        <w:rPr>
          <w:rFonts w:ascii="黑体" w:hAnsi="黑体" w:eastAsia="黑体" w:cs="楷体_GB2312"/>
          <w:b/>
          <w:bCs/>
          <w:szCs w:val="28"/>
          <w:lang w:val="zh-CN"/>
        </w:rPr>
        <w:t xml:space="preserve">9. </w:t>
      </w:r>
      <w:r>
        <w:rPr>
          <w:rFonts w:hint="eastAsia" w:ascii="黑体" w:hAnsi="黑体" w:eastAsia="黑体" w:cs="楷体_GB2312"/>
          <w:b/>
          <w:bCs/>
          <w:szCs w:val="28"/>
          <w:lang w:val="zh-CN"/>
        </w:rPr>
        <w:t>付款</w:t>
      </w:r>
      <w:r>
        <w:rPr>
          <w:b/>
          <w:bCs/>
        </w:rPr>
        <w:tab/>
      </w:r>
      <w:r>
        <w:rPr>
          <w:b/>
          <w:bCs/>
        </w:rPr>
        <w:fldChar w:fldCharType="begin"/>
      </w:r>
      <w:r>
        <w:rPr>
          <w:b/>
          <w:bCs/>
        </w:rPr>
        <w:instrText xml:space="preserve"> PAGEREF _Toc7767 \h </w:instrText>
      </w:r>
      <w:r>
        <w:rPr>
          <w:b/>
          <w:bCs/>
        </w:rPr>
        <w:fldChar w:fldCharType="separate"/>
      </w:r>
      <w:r>
        <w:rPr>
          <w:b/>
          <w:bCs/>
        </w:rPr>
        <w:t>- 26 -</w:t>
      </w:r>
      <w:r>
        <w:rPr>
          <w:b/>
          <w:bCs/>
        </w:rPr>
        <w:fldChar w:fldCharType="end"/>
      </w:r>
      <w:r>
        <w:rPr>
          <w:b/>
          <w:bCs/>
        </w:rPr>
        <w:fldChar w:fldCharType="end"/>
      </w:r>
    </w:p>
    <w:p w14:paraId="6378EA6A">
      <w:pPr>
        <w:pStyle w:val="12"/>
        <w:tabs>
          <w:tab w:val="right" w:leader="dot" w:pos="9381"/>
        </w:tabs>
        <w:rPr>
          <w:b/>
          <w:bCs/>
        </w:rPr>
      </w:pPr>
      <w:r>
        <w:rPr>
          <w:b/>
          <w:bCs/>
        </w:rPr>
        <w:fldChar w:fldCharType="begin"/>
      </w:r>
      <w:r>
        <w:rPr>
          <w:b/>
          <w:bCs/>
        </w:rPr>
        <w:instrText xml:space="preserve"> HYPERLINK \l _Toc29037 </w:instrText>
      </w:r>
      <w:r>
        <w:rPr>
          <w:b/>
          <w:bCs/>
        </w:rPr>
        <w:fldChar w:fldCharType="separate"/>
      </w:r>
      <w:r>
        <w:rPr>
          <w:rFonts w:ascii="黑体" w:hAnsi="黑体" w:eastAsia="黑体" w:cs="楷体_GB2312"/>
          <w:b/>
          <w:bCs/>
          <w:szCs w:val="28"/>
          <w:lang w:val="zh-CN"/>
        </w:rPr>
        <w:t xml:space="preserve">10. </w:t>
      </w:r>
      <w:r>
        <w:rPr>
          <w:rFonts w:hint="eastAsia" w:ascii="黑体" w:hAnsi="黑体" w:eastAsia="黑体" w:cs="楷体_GB2312"/>
          <w:b/>
          <w:bCs/>
          <w:szCs w:val="28"/>
          <w:lang w:val="zh-CN"/>
        </w:rPr>
        <w:t>其他</w:t>
      </w:r>
      <w:r>
        <w:rPr>
          <w:b/>
          <w:bCs/>
        </w:rPr>
        <w:tab/>
      </w:r>
      <w:r>
        <w:rPr>
          <w:b/>
          <w:bCs/>
        </w:rPr>
        <w:fldChar w:fldCharType="begin"/>
      </w:r>
      <w:r>
        <w:rPr>
          <w:b/>
          <w:bCs/>
        </w:rPr>
        <w:instrText xml:space="preserve"> PAGEREF _Toc29037 \h </w:instrText>
      </w:r>
      <w:r>
        <w:rPr>
          <w:b/>
          <w:bCs/>
        </w:rPr>
        <w:fldChar w:fldCharType="separate"/>
      </w:r>
      <w:r>
        <w:rPr>
          <w:b/>
          <w:bCs/>
        </w:rPr>
        <w:t>- 26 -</w:t>
      </w:r>
      <w:r>
        <w:rPr>
          <w:b/>
          <w:bCs/>
        </w:rPr>
        <w:fldChar w:fldCharType="end"/>
      </w:r>
      <w:r>
        <w:rPr>
          <w:b/>
          <w:bCs/>
        </w:rPr>
        <w:fldChar w:fldCharType="end"/>
      </w:r>
    </w:p>
    <w:p w14:paraId="60B526B1">
      <w:pPr>
        <w:pStyle w:val="12"/>
        <w:tabs>
          <w:tab w:val="right" w:leader="dot" w:pos="9381"/>
        </w:tabs>
        <w:rPr>
          <w:b/>
          <w:bCs/>
        </w:rPr>
      </w:pPr>
      <w:r>
        <w:rPr>
          <w:b/>
          <w:bCs/>
        </w:rPr>
        <w:fldChar w:fldCharType="begin"/>
      </w:r>
      <w:r>
        <w:rPr>
          <w:b/>
          <w:bCs/>
        </w:rPr>
        <w:instrText xml:space="preserve"> HYPERLINK \l _Toc3526 </w:instrText>
      </w:r>
      <w:r>
        <w:rPr>
          <w:b/>
          <w:bCs/>
        </w:rPr>
        <w:fldChar w:fldCharType="separate"/>
      </w:r>
      <w:r>
        <w:rPr>
          <w:rFonts w:hint="eastAsia" w:ascii="黑体" w:hAnsi="黑体" w:eastAsia="黑体" w:cs="楷体_GB2312"/>
          <w:b/>
          <w:bCs/>
          <w:szCs w:val="28"/>
          <w:lang w:val="zh-CN"/>
        </w:rPr>
        <w:t>11. 河南省政府采购合同融资政策告知函</w:t>
      </w:r>
      <w:r>
        <w:rPr>
          <w:b/>
          <w:bCs/>
        </w:rPr>
        <w:tab/>
      </w:r>
      <w:r>
        <w:rPr>
          <w:b/>
          <w:bCs/>
        </w:rPr>
        <w:fldChar w:fldCharType="begin"/>
      </w:r>
      <w:r>
        <w:rPr>
          <w:b/>
          <w:bCs/>
        </w:rPr>
        <w:instrText xml:space="preserve"> PAGEREF _Toc3526 \h </w:instrText>
      </w:r>
      <w:r>
        <w:rPr>
          <w:b/>
          <w:bCs/>
        </w:rPr>
        <w:fldChar w:fldCharType="separate"/>
      </w:r>
      <w:r>
        <w:rPr>
          <w:b/>
          <w:bCs/>
        </w:rPr>
        <w:t>- 26 -</w:t>
      </w:r>
      <w:r>
        <w:rPr>
          <w:b/>
          <w:bCs/>
        </w:rPr>
        <w:fldChar w:fldCharType="end"/>
      </w:r>
      <w:r>
        <w:rPr>
          <w:b/>
          <w:bCs/>
        </w:rPr>
        <w:fldChar w:fldCharType="end"/>
      </w:r>
    </w:p>
    <w:p w14:paraId="4BF408CB">
      <w:pPr>
        <w:pStyle w:val="11"/>
        <w:tabs>
          <w:tab w:val="right" w:leader="dot" w:pos="9381"/>
        </w:tabs>
        <w:rPr>
          <w:b/>
          <w:bCs/>
        </w:rPr>
      </w:pPr>
      <w:r>
        <w:rPr>
          <w:b/>
          <w:bCs/>
        </w:rPr>
        <w:fldChar w:fldCharType="begin"/>
      </w:r>
      <w:r>
        <w:rPr>
          <w:b/>
          <w:bCs/>
        </w:rPr>
        <w:instrText xml:space="preserve"> HYPERLINK \l _Toc16541 </w:instrText>
      </w:r>
      <w:r>
        <w:rPr>
          <w:b/>
          <w:bCs/>
        </w:rPr>
        <w:fldChar w:fldCharType="separate"/>
      </w:r>
      <w:r>
        <w:rPr>
          <w:rFonts w:hint="eastAsia" w:ascii="Times New Roman" w:hAnsi="Times New Roman" w:eastAsia="黑体" w:cs="Times New Roman"/>
          <w:b/>
          <w:bCs/>
          <w:szCs w:val="36"/>
          <w:lang w:val="zh-CN" w:eastAsia="zh-CN"/>
        </w:rPr>
        <w:t xml:space="preserve">第四章 </w:t>
      </w:r>
      <w:r>
        <w:rPr>
          <w:rFonts w:hint="eastAsia" w:ascii="Times New Roman" w:hAnsi="Times New Roman" w:eastAsia="黑体" w:cs="Times New Roman"/>
          <w:b/>
          <w:bCs/>
          <w:szCs w:val="36"/>
          <w:lang w:val="en-US" w:eastAsia="zh-CN"/>
        </w:rPr>
        <w:t xml:space="preserve"> </w:t>
      </w:r>
      <w:r>
        <w:rPr>
          <w:rFonts w:hint="eastAsia" w:ascii="Times New Roman" w:hAnsi="Times New Roman" w:eastAsia="黑体" w:cs="Times New Roman"/>
          <w:b/>
          <w:bCs/>
          <w:szCs w:val="36"/>
          <w:lang w:val="zh-CN" w:eastAsia="zh-CN"/>
        </w:rPr>
        <w:t>评审办法</w:t>
      </w:r>
      <w:r>
        <w:rPr>
          <w:b/>
          <w:bCs/>
        </w:rPr>
        <w:tab/>
      </w:r>
      <w:r>
        <w:rPr>
          <w:b/>
          <w:bCs/>
        </w:rPr>
        <w:fldChar w:fldCharType="begin"/>
      </w:r>
      <w:r>
        <w:rPr>
          <w:b/>
          <w:bCs/>
        </w:rPr>
        <w:instrText xml:space="preserve"> PAGEREF _Toc16541 \h </w:instrText>
      </w:r>
      <w:r>
        <w:rPr>
          <w:b/>
          <w:bCs/>
        </w:rPr>
        <w:fldChar w:fldCharType="separate"/>
      </w:r>
      <w:r>
        <w:rPr>
          <w:b/>
          <w:bCs/>
        </w:rPr>
        <w:t>- 27 -</w:t>
      </w:r>
      <w:r>
        <w:rPr>
          <w:b/>
          <w:bCs/>
        </w:rPr>
        <w:fldChar w:fldCharType="end"/>
      </w:r>
      <w:r>
        <w:rPr>
          <w:b/>
          <w:bCs/>
        </w:rPr>
        <w:fldChar w:fldCharType="end"/>
      </w:r>
    </w:p>
    <w:p w14:paraId="2F005994">
      <w:pPr>
        <w:pStyle w:val="12"/>
        <w:tabs>
          <w:tab w:val="right" w:leader="dot" w:pos="9381"/>
        </w:tabs>
        <w:rPr>
          <w:b/>
          <w:bCs/>
        </w:rPr>
      </w:pPr>
      <w:r>
        <w:rPr>
          <w:b/>
          <w:bCs/>
        </w:rPr>
        <w:fldChar w:fldCharType="begin"/>
      </w:r>
      <w:r>
        <w:rPr>
          <w:b/>
          <w:bCs/>
        </w:rPr>
        <w:instrText xml:space="preserve"> HYPERLINK \l _Toc30310 </w:instrText>
      </w:r>
      <w:r>
        <w:rPr>
          <w:b/>
          <w:bCs/>
        </w:rPr>
        <w:fldChar w:fldCharType="separate"/>
      </w:r>
      <w:r>
        <w:rPr>
          <w:rFonts w:hint="eastAsia" w:ascii="黑体" w:hAnsi="黑体" w:eastAsia="黑体"/>
          <w:b/>
          <w:bCs/>
          <w:szCs w:val="28"/>
        </w:rPr>
        <w:t>评审办法前附表</w:t>
      </w:r>
      <w:r>
        <w:rPr>
          <w:b/>
          <w:bCs/>
        </w:rPr>
        <w:tab/>
      </w:r>
      <w:r>
        <w:rPr>
          <w:b/>
          <w:bCs/>
        </w:rPr>
        <w:fldChar w:fldCharType="begin"/>
      </w:r>
      <w:r>
        <w:rPr>
          <w:b/>
          <w:bCs/>
        </w:rPr>
        <w:instrText xml:space="preserve"> PAGEREF _Toc30310 \h </w:instrText>
      </w:r>
      <w:r>
        <w:rPr>
          <w:b/>
          <w:bCs/>
        </w:rPr>
        <w:fldChar w:fldCharType="separate"/>
      </w:r>
      <w:r>
        <w:rPr>
          <w:b/>
          <w:bCs/>
        </w:rPr>
        <w:t>- 27 -</w:t>
      </w:r>
      <w:r>
        <w:rPr>
          <w:b/>
          <w:bCs/>
        </w:rPr>
        <w:fldChar w:fldCharType="end"/>
      </w:r>
      <w:r>
        <w:rPr>
          <w:b/>
          <w:bCs/>
        </w:rPr>
        <w:fldChar w:fldCharType="end"/>
      </w:r>
    </w:p>
    <w:p w14:paraId="31E681A1">
      <w:pPr>
        <w:pStyle w:val="12"/>
        <w:tabs>
          <w:tab w:val="right" w:leader="dot" w:pos="9381"/>
        </w:tabs>
        <w:rPr>
          <w:b/>
          <w:bCs/>
        </w:rPr>
      </w:pPr>
      <w:r>
        <w:rPr>
          <w:b/>
          <w:bCs/>
        </w:rPr>
        <w:fldChar w:fldCharType="begin"/>
      </w:r>
      <w:r>
        <w:rPr>
          <w:b/>
          <w:bCs/>
        </w:rPr>
        <w:instrText xml:space="preserve"> HYPERLINK \l _Toc30800 </w:instrText>
      </w:r>
      <w:r>
        <w:rPr>
          <w:b/>
          <w:bCs/>
        </w:rPr>
        <w:fldChar w:fldCharType="separate"/>
      </w:r>
      <w:r>
        <w:rPr>
          <w:rFonts w:ascii="黑体" w:hAnsi="黑体" w:eastAsia="黑体" w:cs="楷体_GB2312"/>
          <w:b/>
          <w:bCs/>
          <w:szCs w:val="28"/>
          <w:lang w:val="zh-CN"/>
        </w:rPr>
        <w:t xml:space="preserve">1. </w:t>
      </w:r>
      <w:r>
        <w:rPr>
          <w:rFonts w:hint="eastAsia" w:ascii="黑体" w:hAnsi="黑体" w:eastAsia="黑体" w:cs="楷体_GB2312"/>
          <w:b/>
          <w:bCs/>
          <w:szCs w:val="28"/>
          <w:lang w:val="zh-CN"/>
        </w:rPr>
        <w:t>评审方法（评定成交的标准）</w:t>
      </w:r>
      <w:r>
        <w:rPr>
          <w:b/>
          <w:bCs/>
        </w:rPr>
        <w:tab/>
      </w:r>
      <w:r>
        <w:rPr>
          <w:b/>
          <w:bCs/>
        </w:rPr>
        <w:fldChar w:fldCharType="begin"/>
      </w:r>
      <w:r>
        <w:rPr>
          <w:b/>
          <w:bCs/>
        </w:rPr>
        <w:instrText xml:space="preserve"> PAGEREF _Toc30800 \h </w:instrText>
      </w:r>
      <w:r>
        <w:rPr>
          <w:b/>
          <w:bCs/>
        </w:rPr>
        <w:fldChar w:fldCharType="separate"/>
      </w:r>
      <w:r>
        <w:rPr>
          <w:b/>
          <w:bCs/>
        </w:rPr>
        <w:t>- 28 -</w:t>
      </w:r>
      <w:r>
        <w:rPr>
          <w:b/>
          <w:bCs/>
        </w:rPr>
        <w:fldChar w:fldCharType="end"/>
      </w:r>
      <w:r>
        <w:rPr>
          <w:b/>
          <w:bCs/>
        </w:rPr>
        <w:fldChar w:fldCharType="end"/>
      </w:r>
    </w:p>
    <w:p w14:paraId="2F5C4B79">
      <w:pPr>
        <w:pStyle w:val="12"/>
        <w:tabs>
          <w:tab w:val="right" w:leader="dot" w:pos="9381"/>
        </w:tabs>
        <w:rPr>
          <w:b/>
          <w:bCs/>
        </w:rPr>
      </w:pPr>
      <w:r>
        <w:rPr>
          <w:b/>
          <w:bCs/>
        </w:rPr>
        <w:fldChar w:fldCharType="begin"/>
      </w:r>
      <w:r>
        <w:rPr>
          <w:b/>
          <w:bCs/>
        </w:rPr>
        <w:instrText xml:space="preserve"> HYPERLINK \l _Toc7726 </w:instrText>
      </w:r>
      <w:r>
        <w:rPr>
          <w:b/>
          <w:bCs/>
        </w:rPr>
        <w:fldChar w:fldCharType="separate"/>
      </w:r>
      <w:r>
        <w:rPr>
          <w:rFonts w:ascii="黑体" w:hAnsi="黑体" w:eastAsia="黑体" w:cs="楷体_GB2312"/>
          <w:b/>
          <w:bCs/>
          <w:szCs w:val="28"/>
          <w:lang w:val="zh-CN"/>
        </w:rPr>
        <w:t xml:space="preserve">2. </w:t>
      </w:r>
      <w:r>
        <w:rPr>
          <w:rFonts w:hint="eastAsia" w:ascii="黑体" w:hAnsi="黑体" w:eastAsia="黑体" w:cs="楷体_GB2312"/>
          <w:b/>
          <w:bCs/>
          <w:szCs w:val="28"/>
          <w:lang w:val="zh-CN"/>
        </w:rPr>
        <w:t>评审标准</w:t>
      </w:r>
      <w:r>
        <w:rPr>
          <w:b/>
          <w:bCs/>
        </w:rPr>
        <w:tab/>
      </w:r>
      <w:r>
        <w:rPr>
          <w:b/>
          <w:bCs/>
        </w:rPr>
        <w:fldChar w:fldCharType="begin"/>
      </w:r>
      <w:r>
        <w:rPr>
          <w:b/>
          <w:bCs/>
        </w:rPr>
        <w:instrText xml:space="preserve"> PAGEREF _Toc7726 \h </w:instrText>
      </w:r>
      <w:r>
        <w:rPr>
          <w:b/>
          <w:bCs/>
        </w:rPr>
        <w:fldChar w:fldCharType="separate"/>
      </w:r>
      <w:r>
        <w:rPr>
          <w:b/>
          <w:bCs/>
        </w:rPr>
        <w:t>- 28 -</w:t>
      </w:r>
      <w:r>
        <w:rPr>
          <w:b/>
          <w:bCs/>
        </w:rPr>
        <w:fldChar w:fldCharType="end"/>
      </w:r>
      <w:r>
        <w:rPr>
          <w:b/>
          <w:bCs/>
        </w:rPr>
        <w:fldChar w:fldCharType="end"/>
      </w:r>
    </w:p>
    <w:p w14:paraId="0CA84EE7">
      <w:pPr>
        <w:pStyle w:val="12"/>
        <w:tabs>
          <w:tab w:val="right" w:leader="dot" w:pos="9381"/>
        </w:tabs>
        <w:rPr>
          <w:b/>
          <w:bCs/>
        </w:rPr>
      </w:pPr>
      <w:r>
        <w:rPr>
          <w:b/>
          <w:bCs/>
        </w:rPr>
        <w:fldChar w:fldCharType="begin"/>
      </w:r>
      <w:r>
        <w:rPr>
          <w:b/>
          <w:bCs/>
        </w:rPr>
        <w:instrText xml:space="preserve"> HYPERLINK \l _Toc10607 </w:instrText>
      </w:r>
      <w:r>
        <w:rPr>
          <w:b/>
          <w:bCs/>
        </w:rPr>
        <w:fldChar w:fldCharType="separate"/>
      </w:r>
      <w:r>
        <w:rPr>
          <w:rFonts w:ascii="黑体" w:hAnsi="黑体" w:eastAsia="黑体" w:cs="楷体_GB2312"/>
          <w:b/>
          <w:bCs/>
          <w:szCs w:val="28"/>
          <w:lang w:val="zh-CN"/>
        </w:rPr>
        <w:t xml:space="preserve">3. </w:t>
      </w:r>
      <w:r>
        <w:rPr>
          <w:rFonts w:hint="eastAsia" w:ascii="黑体" w:hAnsi="黑体" w:eastAsia="黑体" w:cs="楷体_GB2312"/>
          <w:b/>
          <w:bCs/>
          <w:szCs w:val="28"/>
          <w:lang w:val="zh-CN"/>
        </w:rPr>
        <w:t>评审程序</w:t>
      </w:r>
      <w:r>
        <w:rPr>
          <w:b/>
          <w:bCs/>
        </w:rPr>
        <w:tab/>
      </w:r>
      <w:r>
        <w:rPr>
          <w:b/>
          <w:bCs/>
        </w:rPr>
        <w:fldChar w:fldCharType="begin"/>
      </w:r>
      <w:r>
        <w:rPr>
          <w:b/>
          <w:bCs/>
        </w:rPr>
        <w:instrText xml:space="preserve"> PAGEREF _Toc10607 \h </w:instrText>
      </w:r>
      <w:r>
        <w:rPr>
          <w:b/>
          <w:bCs/>
        </w:rPr>
        <w:fldChar w:fldCharType="separate"/>
      </w:r>
      <w:r>
        <w:rPr>
          <w:b/>
          <w:bCs/>
        </w:rPr>
        <w:t>- 28 -</w:t>
      </w:r>
      <w:r>
        <w:rPr>
          <w:b/>
          <w:bCs/>
        </w:rPr>
        <w:fldChar w:fldCharType="end"/>
      </w:r>
      <w:r>
        <w:rPr>
          <w:b/>
          <w:bCs/>
        </w:rPr>
        <w:fldChar w:fldCharType="end"/>
      </w:r>
    </w:p>
    <w:p w14:paraId="754EB634">
      <w:pPr>
        <w:pStyle w:val="12"/>
        <w:tabs>
          <w:tab w:val="right" w:leader="dot" w:pos="9381"/>
        </w:tabs>
        <w:rPr>
          <w:b/>
          <w:bCs/>
        </w:rPr>
      </w:pPr>
      <w:r>
        <w:rPr>
          <w:b/>
          <w:bCs/>
        </w:rPr>
        <w:fldChar w:fldCharType="begin"/>
      </w:r>
      <w:r>
        <w:rPr>
          <w:b/>
          <w:bCs/>
        </w:rPr>
        <w:instrText xml:space="preserve"> HYPERLINK \l _Toc21002 </w:instrText>
      </w:r>
      <w:r>
        <w:rPr>
          <w:b/>
          <w:bCs/>
        </w:rPr>
        <w:fldChar w:fldCharType="separate"/>
      </w:r>
      <w:r>
        <w:rPr>
          <w:rFonts w:ascii="黑体" w:hAnsi="黑体" w:eastAsia="黑体" w:cs="楷体_GB2312"/>
          <w:b/>
          <w:bCs/>
          <w:szCs w:val="28"/>
          <w:lang w:val="zh-CN"/>
        </w:rPr>
        <w:t xml:space="preserve">4. </w:t>
      </w:r>
      <w:r>
        <w:rPr>
          <w:rFonts w:hint="eastAsia" w:ascii="黑体" w:hAnsi="黑体" w:eastAsia="黑体" w:cs="楷体_GB2312"/>
          <w:b/>
          <w:bCs/>
          <w:szCs w:val="28"/>
          <w:lang w:val="zh-CN"/>
        </w:rPr>
        <w:t>政府采购促进中小企业发展扶持政策</w:t>
      </w:r>
      <w:r>
        <w:rPr>
          <w:b/>
          <w:bCs/>
        </w:rPr>
        <w:tab/>
      </w:r>
      <w:r>
        <w:rPr>
          <w:b/>
          <w:bCs/>
        </w:rPr>
        <w:fldChar w:fldCharType="begin"/>
      </w:r>
      <w:r>
        <w:rPr>
          <w:b/>
          <w:bCs/>
        </w:rPr>
        <w:instrText xml:space="preserve"> PAGEREF _Toc21002 \h </w:instrText>
      </w:r>
      <w:r>
        <w:rPr>
          <w:b/>
          <w:bCs/>
        </w:rPr>
        <w:fldChar w:fldCharType="separate"/>
      </w:r>
      <w:r>
        <w:rPr>
          <w:b/>
          <w:bCs/>
        </w:rPr>
        <w:t>- 32 -</w:t>
      </w:r>
      <w:r>
        <w:rPr>
          <w:b/>
          <w:bCs/>
        </w:rPr>
        <w:fldChar w:fldCharType="end"/>
      </w:r>
      <w:r>
        <w:rPr>
          <w:b/>
          <w:bCs/>
        </w:rPr>
        <w:fldChar w:fldCharType="end"/>
      </w:r>
    </w:p>
    <w:p w14:paraId="1AFCA9CA">
      <w:pPr>
        <w:pStyle w:val="12"/>
        <w:tabs>
          <w:tab w:val="right" w:leader="dot" w:pos="9381"/>
        </w:tabs>
        <w:rPr>
          <w:b/>
          <w:bCs/>
        </w:rPr>
      </w:pPr>
      <w:r>
        <w:rPr>
          <w:b/>
          <w:bCs/>
        </w:rPr>
        <w:fldChar w:fldCharType="begin"/>
      </w:r>
      <w:r>
        <w:rPr>
          <w:b/>
          <w:bCs/>
        </w:rPr>
        <w:instrText xml:space="preserve"> HYPERLINK \l _Toc30290 </w:instrText>
      </w:r>
      <w:r>
        <w:rPr>
          <w:b/>
          <w:bCs/>
        </w:rPr>
        <w:fldChar w:fldCharType="separate"/>
      </w:r>
      <w:r>
        <w:rPr>
          <w:rFonts w:hint="eastAsia" w:ascii="黑体" w:hAnsi="黑体" w:eastAsia="黑体" w:cs="楷体_GB2312"/>
          <w:b/>
          <w:bCs/>
          <w:szCs w:val="28"/>
          <w:lang w:val="en-US" w:eastAsia="zh-CN"/>
        </w:rPr>
        <w:t>5</w:t>
      </w:r>
      <w:r>
        <w:rPr>
          <w:rFonts w:ascii="黑体" w:hAnsi="黑体" w:eastAsia="黑体" w:cs="楷体_GB2312"/>
          <w:b/>
          <w:bCs/>
          <w:szCs w:val="28"/>
          <w:lang w:val="zh-CN"/>
        </w:rPr>
        <w:t xml:space="preserve">. </w:t>
      </w:r>
      <w:r>
        <w:rPr>
          <w:rFonts w:hint="eastAsia" w:ascii="黑体" w:hAnsi="黑体" w:eastAsia="黑体" w:cs="楷体_GB2312"/>
          <w:b/>
          <w:bCs/>
          <w:szCs w:val="28"/>
          <w:lang w:val="zh-CN"/>
        </w:rPr>
        <w:t>异常低价审查</w:t>
      </w:r>
      <w:r>
        <w:rPr>
          <w:b/>
          <w:bCs/>
        </w:rPr>
        <w:tab/>
      </w:r>
      <w:r>
        <w:rPr>
          <w:b/>
          <w:bCs/>
        </w:rPr>
        <w:fldChar w:fldCharType="begin"/>
      </w:r>
      <w:r>
        <w:rPr>
          <w:b/>
          <w:bCs/>
        </w:rPr>
        <w:instrText xml:space="preserve"> PAGEREF _Toc30290 \h </w:instrText>
      </w:r>
      <w:r>
        <w:rPr>
          <w:b/>
          <w:bCs/>
        </w:rPr>
        <w:fldChar w:fldCharType="separate"/>
      </w:r>
      <w:r>
        <w:rPr>
          <w:b/>
          <w:bCs/>
        </w:rPr>
        <w:t>- 34 -</w:t>
      </w:r>
      <w:r>
        <w:rPr>
          <w:b/>
          <w:bCs/>
        </w:rPr>
        <w:fldChar w:fldCharType="end"/>
      </w:r>
      <w:r>
        <w:rPr>
          <w:b/>
          <w:bCs/>
        </w:rPr>
        <w:fldChar w:fldCharType="end"/>
      </w:r>
    </w:p>
    <w:p w14:paraId="78B10152">
      <w:pPr>
        <w:pStyle w:val="11"/>
        <w:tabs>
          <w:tab w:val="right" w:leader="dot" w:pos="9381"/>
        </w:tabs>
        <w:rPr>
          <w:b/>
          <w:bCs/>
        </w:rPr>
      </w:pPr>
      <w:r>
        <w:rPr>
          <w:b/>
          <w:bCs/>
        </w:rPr>
        <w:fldChar w:fldCharType="begin"/>
      </w:r>
      <w:r>
        <w:rPr>
          <w:b/>
          <w:bCs/>
        </w:rPr>
        <w:instrText xml:space="preserve"> HYPERLINK \l _Toc30628 </w:instrText>
      </w:r>
      <w:r>
        <w:rPr>
          <w:b/>
          <w:bCs/>
        </w:rPr>
        <w:fldChar w:fldCharType="separate"/>
      </w:r>
      <w:r>
        <w:rPr>
          <w:rFonts w:hint="eastAsia" w:ascii="Times New Roman" w:hAnsi="Times New Roman" w:eastAsia="黑体" w:cs="Times New Roman"/>
          <w:b/>
          <w:bCs/>
          <w:szCs w:val="36"/>
          <w:lang w:val="zh-CN" w:eastAsia="zh-CN"/>
        </w:rPr>
        <w:t xml:space="preserve">第五章 </w:t>
      </w:r>
      <w:r>
        <w:rPr>
          <w:rFonts w:hint="eastAsia" w:ascii="Times New Roman" w:hAnsi="Times New Roman" w:eastAsia="黑体" w:cs="Times New Roman"/>
          <w:b/>
          <w:bCs/>
          <w:szCs w:val="36"/>
          <w:lang w:val="en-US" w:eastAsia="zh-CN"/>
        </w:rPr>
        <w:t xml:space="preserve"> </w:t>
      </w:r>
      <w:r>
        <w:rPr>
          <w:rFonts w:hint="eastAsia" w:ascii="Times New Roman" w:hAnsi="Times New Roman" w:eastAsia="黑体" w:cs="Times New Roman"/>
          <w:b/>
          <w:bCs/>
          <w:szCs w:val="36"/>
          <w:lang w:val="zh-CN" w:eastAsia="zh-CN"/>
        </w:rPr>
        <w:t>合同主要条款</w:t>
      </w:r>
      <w:r>
        <w:rPr>
          <w:b/>
          <w:bCs/>
        </w:rPr>
        <w:tab/>
      </w:r>
      <w:r>
        <w:rPr>
          <w:b/>
          <w:bCs/>
        </w:rPr>
        <w:fldChar w:fldCharType="begin"/>
      </w:r>
      <w:r>
        <w:rPr>
          <w:b/>
          <w:bCs/>
        </w:rPr>
        <w:instrText xml:space="preserve"> PAGEREF _Toc30628 \h </w:instrText>
      </w:r>
      <w:r>
        <w:rPr>
          <w:b/>
          <w:bCs/>
        </w:rPr>
        <w:fldChar w:fldCharType="separate"/>
      </w:r>
      <w:r>
        <w:rPr>
          <w:b/>
          <w:bCs/>
        </w:rPr>
        <w:t>- 36 -</w:t>
      </w:r>
      <w:r>
        <w:rPr>
          <w:b/>
          <w:bCs/>
        </w:rPr>
        <w:fldChar w:fldCharType="end"/>
      </w:r>
      <w:r>
        <w:rPr>
          <w:b/>
          <w:bCs/>
        </w:rPr>
        <w:fldChar w:fldCharType="end"/>
      </w:r>
    </w:p>
    <w:p w14:paraId="10A48C90">
      <w:pPr>
        <w:pStyle w:val="11"/>
        <w:tabs>
          <w:tab w:val="right" w:leader="dot" w:pos="9381"/>
        </w:tabs>
      </w:pPr>
      <w:r>
        <w:rPr>
          <w:b/>
          <w:bCs/>
        </w:rPr>
        <w:fldChar w:fldCharType="begin"/>
      </w:r>
      <w:r>
        <w:rPr>
          <w:b/>
          <w:bCs/>
        </w:rPr>
        <w:instrText xml:space="preserve"> HYPERLINK \l _Toc4063 </w:instrText>
      </w:r>
      <w:r>
        <w:rPr>
          <w:b/>
          <w:bCs/>
        </w:rPr>
        <w:fldChar w:fldCharType="separate"/>
      </w:r>
      <w:r>
        <w:rPr>
          <w:rFonts w:hint="eastAsia" w:ascii="Times New Roman" w:hAnsi="Times New Roman" w:eastAsia="黑体" w:cs="Times New Roman"/>
          <w:b/>
          <w:bCs/>
          <w:szCs w:val="36"/>
          <w:lang w:val="en-US" w:eastAsia="zh-CN"/>
        </w:rPr>
        <w:t xml:space="preserve">第六章 </w:t>
      </w:r>
      <w:r>
        <w:rPr>
          <w:rFonts w:hint="eastAsia" w:ascii="Times New Roman" w:hAnsi="Times New Roman" w:eastAsia="黑体" w:cs="Times New Roman"/>
          <w:b/>
          <w:bCs/>
          <w:szCs w:val="36"/>
          <w:lang w:val="zh-CN" w:eastAsia="zh-CN"/>
        </w:rPr>
        <w:t>《响应文件》格式</w:t>
      </w:r>
      <w:r>
        <w:rPr>
          <w:b/>
          <w:bCs/>
        </w:rPr>
        <w:tab/>
      </w:r>
      <w:r>
        <w:rPr>
          <w:b/>
          <w:bCs/>
        </w:rPr>
        <w:fldChar w:fldCharType="begin"/>
      </w:r>
      <w:r>
        <w:rPr>
          <w:b/>
          <w:bCs/>
        </w:rPr>
        <w:instrText xml:space="preserve"> PAGEREF _Toc4063 \h </w:instrText>
      </w:r>
      <w:r>
        <w:rPr>
          <w:b/>
          <w:bCs/>
        </w:rPr>
        <w:fldChar w:fldCharType="separate"/>
      </w:r>
      <w:r>
        <w:rPr>
          <w:b/>
          <w:bCs/>
        </w:rPr>
        <w:t>- 40 -</w:t>
      </w:r>
      <w:r>
        <w:rPr>
          <w:b/>
          <w:bCs/>
        </w:rPr>
        <w:fldChar w:fldCharType="end"/>
      </w:r>
      <w:r>
        <w:rPr>
          <w:b/>
          <w:bCs/>
        </w:rPr>
        <w:fldChar w:fldCharType="end"/>
      </w:r>
    </w:p>
    <w:p w14:paraId="7B48354A">
      <w:pPr>
        <w:keepNext w:val="0"/>
        <w:keepLines w:val="0"/>
        <w:pageBreakBefore w:val="0"/>
        <w:widowControl/>
        <w:kinsoku/>
        <w:wordWrap/>
        <w:overflowPunct/>
        <w:topLinePunct w:val="0"/>
        <w:autoSpaceDE/>
        <w:autoSpaceDN/>
        <w:bidi w:val="0"/>
        <w:adjustRightInd/>
        <w:snapToGrid/>
        <w:spacing w:before="0" w:beforeLines="50" w:after="0" w:afterLines="50" w:line="360" w:lineRule="auto"/>
        <w:jc w:val="center"/>
        <w:textAlignment w:val="baseline"/>
      </w:pPr>
      <w:r>
        <w:fldChar w:fldCharType="end"/>
      </w:r>
    </w:p>
    <w:p w14:paraId="445228D0">
      <w:pPr>
        <w:widowControl w:val="0"/>
        <w:snapToGrid w:val="0"/>
        <w:spacing w:line="660" w:lineRule="exact"/>
        <w:ind w:firstLine="607" w:firstLineChars="168"/>
        <w:rPr>
          <w:rFonts w:ascii="黑体" w:hAnsi="黑体" w:eastAsia="黑体"/>
          <w:b/>
          <w:color w:val="auto"/>
          <w:sz w:val="36"/>
          <w:szCs w:val="36"/>
        </w:rPr>
      </w:pPr>
    </w:p>
    <w:p w14:paraId="6FFFAF07">
      <w:pPr>
        <w:widowControl w:val="0"/>
        <w:snapToGrid w:val="0"/>
        <w:spacing w:line="560" w:lineRule="exact"/>
        <w:ind w:firstLine="181" w:firstLineChars="50"/>
        <w:rPr>
          <w:rFonts w:ascii="黑体" w:eastAsia="黑体"/>
          <w:b/>
          <w:color w:val="FF0000"/>
          <w:sz w:val="36"/>
          <w:szCs w:val="36"/>
        </w:rPr>
        <w:sectPr>
          <w:pgSz w:w="11905" w:h="16837"/>
          <w:pgMar w:top="1418" w:right="1106" w:bottom="1418" w:left="1418" w:header="567" w:footer="567" w:gutter="0"/>
          <w:pgBorders>
            <w:top w:val="none" w:sz="0" w:space="0"/>
            <w:left w:val="none" w:sz="0" w:space="0"/>
            <w:bottom w:val="none" w:sz="0" w:space="0"/>
            <w:right w:val="none" w:sz="0" w:space="0"/>
          </w:pgBorders>
          <w:pgNumType w:fmt="numberInDash" w:start="0"/>
          <w:cols w:space="720" w:num="1"/>
          <w:titlePg/>
        </w:sectPr>
      </w:pPr>
    </w:p>
    <w:p w14:paraId="4DC5324B">
      <w:pPr>
        <w:keepNext w:val="0"/>
        <w:keepLines w:val="0"/>
        <w:pageBreakBefore w:val="0"/>
        <w:widowControl w:val="0"/>
        <w:kinsoku/>
        <w:wordWrap/>
        <w:overflowPunct/>
        <w:topLinePunct w:val="0"/>
        <w:autoSpaceDE/>
        <w:autoSpaceDN/>
        <w:bidi w:val="0"/>
        <w:adjustRightInd/>
        <w:snapToGrid w:val="0"/>
        <w:spacing w:line="276" w:lineRule="auto"/>
        <w:jc w:val="left"/>
        <w:textAlignment w:val="baseline"/>
        <w:rPr>
          <w:rFonts w:hint="eastAsia" w:asciiTheme="minorEastAsia" w:hAnsiTheme="minorEastAsia" w:eastAsiaTheme="minorEastAsia" w:cstheme="minorEastAsia"/>
          <w:b/>
          <w:color w:val="00B050"/>
          <w:sz w:val="24"/>
          <w:szCs w:val="24"/>
        </w:rPr>
      </w:pPr>
    </w:p>
    <w:p w14:paraId="0F6DCE87">
      <w:pPr>
        <w:widowControl w:val="0"/>
        <w:snapToGrid w:val="0"/>
        <w:spacing w:line="560" w:lineRule="exact"/>
        <w:jc w:val="center"/>
        <w:outlineLvl w:val="0"/>
        <w:rPr>
          <w:sz w:val="36"/>
          <w:szCs w:val="36"/>
        </w:rPr>
      </w:pPr>
      <w:bookmarkStart w:id="0" w:name="_Toc9465"/>
      <w:r>
        <w:rPr>
          <w:rFonts w:hint="eastAsia" w:eastAsia="黑体"/>
          <w:b/>
          <w:sz w:val="36"/>
          <w:szCs w:val="36"/>
        </w:rPr>
        <w:t>第一章</w:t>
      </w:r>
      <w:r>
        <w:rPr>
          <w:rFonts w:eastAsia="黑体"/>
          <w:b/>
          <w:sz w:val="36"/>
          <w:szCs w:val="36"/>
        </w:rPr>
        <w:t xml:space="preserve"> </w:t>
      </w:r>
      <w:r>
        <w:rPr>
          <w:rFonts w:hint="eastAsia" w:eastAsia="黑体"/>
          <w:b/>
          <w:sz w:val="36"/>
          <w:szCs w:val="36"/>
          <w:lang w:val="en-US" w:eastAsia="zh-CN"/>
        </w:rPr>
        <w:t xml:space="preserve"> </w:t>
      </w:r>
      <w:r>
        <w:rPr>
          <w:rFonts w:hint="eastAsia" w:eastAsia="黑体"/>
          <w:b/>
          <w:sz w:val="36"/>
          <w:szCs w:val="36"/>
        </w:rPr>
        <w:t>谈判公告</w:t>
      </w:r>
      <w:bookmarkEnd w:id="0"/>
    </w:p>
    <w:p w14:paraId="60066B53">
      <w:pPr>
        <w:keepNext w:val="0"/>
        <w:keepLines w:val="0"/>
        <w:pageBreakBefore w:val="0"/>
        <w:widowControl w:val="0"/>
        <w:kinsoku/>
        <w:wordWrap/>
        <w:overflowPunct/>
        <w:topLinePunct w:val="0"/>
        <w:autoSpaceDE/>
        <w:autoSpaceDN/>
        <w:bidi w:val="0"/>
        <w:adjustRightInd/>
        <w:snapToGrid w:val="0"/>
        <w:spacing w:line="276" w:lineRule="auto"/>
        <w:jc w:val="left"/>
        <w:textAlignment w:val="baseline"/>
        <w:rPr>
          <w:sz w:val="24"/>
          <w:szCs w:val="24"/>
        </w:rPr>
      </w:pPr>
    </w:p>
    <w:p w14:paraId="095E401E">
      <w:pPr>
        <w:widowControl w:val="0"/>
        <w:snapToGrid w:val="0"/>
        <w:spacing w:line="360" w:lineRule="auto"/>
        <w:ind w:firstLine="562" w:firstLineChars="200"/>
        <w:rPr>
          <w:rFonts w:hint="eastAsia" w:ascii="黑体" w:hAnsi="黑体" w:eastAsia="黑体" w:cs="Times New Roman"/>
          <w:b/>
          <w:color w:val="auto"/>
          <w:sz w:val="28"/>
          <w:szCs w:val="28"/>
          <w:lang w:eastAsia="zh-CN"/>
        </w:rPr>
      </w:pPr>
      <w:r>
        <w:rPr>
          <w:rFonts w:hint="eastAsia" w:ascii="黑体" w:hAnsi="黑体" w:eastAsia="黑体" w:cs="Times New Roman"/>
          <w:b/>
          <w:color w:val="auto"/>
          <w:sz w:val="28"/>
          <w:szCs w:val="28"/>
        </w:rPr>
        <w:t>1.项目基本情况</w:t>
      </w:r>
      <w:r>
        <w:rPr>
          <w:rFonts w:hint="eastAsia" w:ascii="黑体" w:hAnsi="黑体" w:eastAsia="黑体" w:cs="Times New Roman"/>
          <w:b/>
          <w:color w:val="auto"/>
          <w:sz w:val="28"/>
          <w:szCs w:val="28"/>
          <w:lang w:eastAsia="zh-CN"/>
        </w:rPr>
        <w:t>：</w:t>
      </w:r>
    </w:p>
    <w:p w14:paraId="2C4B50E1">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项目编号：殷竞谈-2026-6 </w:t>
      </w:r>
    </w:p>
    <w:p w14:paraId="784F9C6C">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项目名称：安阳市殷都区农业农村局2026年小麦“一喷三防”项目</w:t>
      </w:r>
    </w:p>
    <w:p w14:paraId="6C8EA71C">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1.3</w:t>
      </w:r>
      <w:r>
        <w:rPr>
          <w:rFonts w:hint="eastAsia" w:asciiTheme="minorEastAsia" w:hAnsiTheme="minorEastAsia" w:eastAsiaTheme="minorEastAsia" w:cstheme="minorEastAsia"/>
          <w:color w:val="000000" w:themeColor="text1"/>
          <w:sz w:val="24"/>
          <w:szCs w:val="24"/>
          <w:lang w:val="en-US" w:eastAsia="zh-CN"/>
        </w:rPr>
        <w:t xml:space="preserve"> </w:t>
      </w:r>
      <w:r>
        <w:rPr>
          <w:rFonts w:hint="eastAsia" w:asciiTheme="minorEastAsia" w:hAnsiTheme="minorEastAsia" w:eastAsiaTheme="minorEastAsia" w:cstheme="minorEastAsia"/>
          <w:color w:val="000000" w:themeColor="text1"/>
          <w:sz w:val="24"/>
          <w:szCs w:val="24"/>
        </w:rPr>
        <w:t>采购方式：竞争性谈判</w:t>
      </w:r>
    </w:p>
    <w:p w14:paraId="31175E5D">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1.4</w:t>
      </w:r>
      <w:r>
        <w:rPr>
          <w:rFonts w:hint="eastAsia" w:asciiTheme="minorEastAsia" w:hAnsiTheme="minorEastAsia" w:eastAsiaTheme="minorEastAsia" w:cstheme="minorEastAsia"/>
          <w:color w:val="000000" w:themeColor="text1"/>
          <w:sz w:val="24"/>
          <w:szCs w:val="24"/>
          <w:lang w:val="en-US" w:eastAsia="zh-CN"/>
        </w:rPr>
        <w:t xml:space="preserve"> </w:t>
      </w:r>
      <w:r>
        <w:rPr>
          <w:rFonts w:hint="eastAsia" w:asciiTheme="minorEastAsia" w:hAnsiTheme="minorEastAsia" w:eastAsiaTheme="minorEastAsia" w:cstheme="minorEastAsia"/>
          <w:color w:val="000000" w:themeColor="text1"/>
          <w:sz w:val="24"/>
          <w:szCs w:val="24"/>
        </w:rPr>
        <w:t>预算金额：91</w:t>
      </w:r>
      <w:r>
        <w:rPr>
          <w:rFonts w:hint="eastAsia" w:asciiTheme="minorEastAsia" w:hAnsiTheme="minorEastAsia" w:eastAsiaTheme="minorEastAsia" w:cstheme="minorEastAsia"/>
          <w:color w:val="000000" w:themeColor="text1"/>
          <w:sz w:val="24"/>
          <w:szCs w:val="24"/>
          <w:lang w:val="en-US" w:eastAsia="zh-CN"/>
        </w:rPr>
        <w:t>0000</w:t>
      </w:r>
      <w:r>
        <w:rPr>
          <w:rFonts w:hint="eastAsia" w:asciiTheme="minorEastAsia" w:hAnsiTheme="minorEastAsia" w:eastAsiaTheme="minorEastAsia" w:cstheme="minorEastAsia"/>
          <w:color w:val="000000" w:themeColor="text1"/>
          <w:sz w:val="24"/>
          <w:szCs w:val="24"/>
        </w:rPr>
        <w:t>元</w:t>
      </w:r>
    </w:p>
    <w:tbl>
      <w:tblPr>
        <w:tblStyle w:val="16"/>
        <w:tblW w:w="834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9"/>
        <w:gridCol w:w="709"/>
        <w:gridCol w:w="3567"/>
        <w:gridCol w:w="1711"/>
        <w:gridCol w:w="1786"/>
      </w:tblGrid>
      <w:tr w14:paraId="4883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 w:hRule="atLeast"/>
          <w:tblCellSpacing w:w="0" w:type="dxa"/>
          <w:jc w:val="center"/>
        </w:trPr>
        <w:tc>
          <w:tcPr>
            <w:tcW w:w="569" w:type="dxa"/>
            <w:vAlign w:val="center"/>
          </w:tcPr>
          <w:p w14:paraId="621F9584">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序号</w:t>
            </w:r>
          </w:p>
        </w:tc>
        <w:tc>
          <w:tcPr>
            <w:tcW w:w="709" w:type="dxa"/>
            <w:vAlign w:val="center"/>
          </w:tcPr>
          <w:p w14:paraId="3CF019C9">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包号</w:t>
            </w:r>
          </w:p>
        </w:tc>
        <w:tc>
          <w:tcPr>
            <w:tcW w:w="3567" w:type="dxa"/>
            <w:vAlign w:val="center"/>
          </w:tcPr>
          <w:p w14:paraId="11F64030">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包名称</w:t>
            </w:r>
          </w:p>
        </w:tc>
        <w:tc>
          <w:tcPr>
            <w:tcW w:w="1711" w:type="dxa"/>
            <w:vAlign w:val="center"/>
          </w:tcPr>
          <w:p w14:paraId="476DDB6B">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包预算（元）</w:t>
            </w:r>
          </w:p>
        </w:tc>
        <w:tc>
          <w:tcPr>
            <w:tcW w:w="1786" w:type="dxa"/>
            <w:vAlign w:val="center"/>
          </w:tcPr>
          <w:p w14:paraId="65FD289F">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包最高限价（元）</w:t>
            </w:r>
          </w:p>
        </w:tc>
      </w:tr>
      <w:tr w14:paraId="5F7D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blCellSpacing w:w="0" w:type="dxa"/>
          <w:jc w:val="center"/>
        </w:trPr>
        <w:tc>
          <w:tcPr>
            <w:tcW w:w="569" w:type="dxa"/>
            <w:vAlign w:val="center"/>
          </w:tcPr>
          <w:p w14:paraId="67A99ED7">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p>
        </w:tc>
        <w:tc>
          <w:tcPr>
            <w:tcW w:w="709" w:type="dxa"/>
            <w:vAlign w:val="center"/>
          </w:tcPr>
          <w:p w14:paraId="32201248">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p>
        </w:tc>
        <w:tc>
          <w:tcPr>
            <w:tcW w:w="3567" w:type="dxa"/>
            <w:vAlign w:val="center"/>
          </w:tcPr>
          <w:p w14:paraId="54D7AFC4">
            <w:pPr>
              <w:spacing w:line="240" w:lineRule="auto"/>
              <w:jc w:val="center"/>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安阳市殷都区农业农村局2026年小麦“一喷三防”项目</w:t>
            </w:r>
            <w:r>
              <w:rPr>
                <w:rFonts w:hint="eastAsia" w:asciiTheme="minorEastAsia" w:hAnsiTheme="minorEastAsia" w:eastAsiaTheme="minorEastAsia"/>
                <w:color w:val="auto"/>
                <w:sz w:val="24"/>
                <w:szCs w:val="24"/>
                <w:highlight w:val="none"/>
              </w:rPr>
              <w:t>（包1）</w:t>
            </w:r>
          </w:p>
        </w:tc>
        <w:tc>
          <w:tcPr>
            <w:tcW w:w="1711" w:type="dxa"/>
            <w:vAlign w:val="center"/>
          </w:tcPr>
          <w:p w14:paraId="7F033270">
            <w:pPr>
              <w:spacing w:line="240" w:lineRule="auto"/>
              <w:jc w:val="center"/>
              <w:textAlignment w:val="auto"/>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460000</w:t>
            </w:r>
          </w:p>
        </w:tc>
        <w:tc>
          <w:tcPr>
            <w:tcW w:w="1786" w:type="dxa"/>
            <w:vAlign w:val="center"/>
          </w:tcPr>
          <w:p w14:paraId="5A274B3C">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460000</w:t>
            </w:r>
          </w:p>
        </w:tc>
      </w:tr>
      <w:tr w14:paraId="1388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blCellSpacing w:w="0" w:type="dxa"/>
          <w:jc w:val="center"/>
        </w:trPr>
        <w:tc>
          <w:tcPr>
            <w:tcW w:w="569" w:type="dxa"/>
            <w:vAlign w:val="center"/>
          </w:tcPr>
          <w:p w14:paraId="624DEDB2">
            <w:pPr>
              <w:spacing w:line="240" w:lineRule="auto"/>
              <w:jc w:val="center"/>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w:t>
            </w:r>
          </w:p>
        </w:tc>
        <w:tc>
          <w:tcPr>
            <w:tcW w:w="709" w:type="dxa"/>
            <w:vAlign w:val="center"/>
          </w:tcPr>
          <w:p w14:paraId="1529C02C">
            <w:pPr>
              <w:spacing w:line="240" w:lineRule="auto"/>
              <w:jc w:val="center"/>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w:t>
            </w:r>
          </w:p>
        </w:tc>
        <w:tc>
          <w:tcPr>
            <w:tcW w:w="3567" w:type="dxa"/>
            <w:vAlign w:val="center"/>
          </w:tcPr>
          <w:p w14:paraId="6FEB80FC">
            <w:pPr>
              <w:spacing w:line="240" w:lineRule="auto"/>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安阳市殷都区农业农村局2026年小麦“一喷三防”项目</w:t>
            </w:r>
            <w:r>
              <w:rPr>
                <w:rFonts w:hint="eastAsia" w:asciiTheme="minorEastAsia" w:hAnsiTheme="minorEastAsia" w:eastAsiaTheme="minorEastAsia"/>
                <w:color w:val="auto"/>
                <w:sz w:val="24"/>
                <w:szCs w:val="24"/>
                <w:highlight w:val="none"/>
              </w:rPr>
              <w:t>（包2）</w:t>
            </w:r>
          </w:p>
        </w:tc>
        <w:tc>
          <w:tcPr>
            <w:tcW w:w="1711" w:type="dxa"/>
            <w:vAlign w:val="center"/>
          </w:tcPr>
          <w:p w14:paraId="486BA394">
            <w:pPr>
              <w:spacing w:line="240" w:lineRule="auto"/>
              <w:jc w:val="center"/>
              <w:textAlignment w:val="auto"/>
              <w:rPr>
                <w:rFonts w:hint="default" w:cs="宋体" w:asciiTheme="minorEastAsia" w:hAnsiTheme="minorEastAsia" w:eastAsiaTheme="minorEastAsia"/>
                <w:color w:val="auto"/>
                <w:sz w:val="24"/>
                <w:szCs w:val="24"/>
                <w:highlight w:val="none"/>
                <w:lang w:val="en-US"/>
              </w:rPr>
            </w:pPr>
            <w:r>
              <w:rPr>
                <w:rFonts w:hint="eastAsia" w:cs="宋体" w:asciiTheme="minorEastAsia" w:hAnsiTheme="minorEastAsia" w:eastAsiaTheme="minorEastAsia"/>
                <w:color w:val="auto"/>
                <w:sz w:val="24"/>
                <w:szCs w:val="24"/>
                <w:highlight w:val="none"/>
                <w:lang w:val="en-US" w:eastAsia="zh-CN"/>
              </w:rPr>
              <w:t>450000</w:t>
            </w:r>
          </w:p>
        </w:tc>
        <w:tc>
          <w:tcPr>
            <w:tcW w:w="1786" w:type="dxa"/>
            <w:vAlign w:val="center"/>
          </w:tcPr>
          <w:p w14:paraId="2F70F586">
            <w:pPr>
              <w:spacing w:line="240" w:lineRule="auto"/>
              <w:jc w:val="center"/>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450000</w:t>
            </w:r>
          </w:p>
        </w:tc>
      </w:tr>
    </w:tbl>
    <w:p w14:paraId="33C6E56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40" w:firstLineChars="225"/>
        <w:jc w:val="left"/>
        <w:textAlignment w:val="baseline"/>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1.5</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采购需求</w:t>
      </w:r>
      <w:r>
        <w:rPr>
          <w:rFonts w:hint="eastAsia" w:asciiTheme="minorEastAsia" w:hAnsiTheme="minorEastAsia" w:eastAsiaTheme="minorEastAsia" w:cstheme="minorEastAsia"/>
          <w:color w:val="auto"/>
          <w:sz w:val="24"/>
          <w:szCs w:val="24"/>
          <w:lang w:eastAsia="zh-CN"/>
        </w:rPr>
        <w:t>：</w:t>
      </w:r>
      <w:bookmarkStart w:id="1" w:name="OLE_LINK8"/>
      <w:r>
        <w:rPr>
          <w:rFonts w:hint="eastAsia" w:asciiTheme="minorEastAsia" w:hAnsiTheme="minorEastAsia" w:eastAsiaTheme="minorEastAsia" w:cstheme="minorEastAsia"/>
          <w:color w:val="auto"/>
          <w:sz w:val="24"/>
          <w:szCs w:val="24"/>
        </w:rPr>
        <w:t>包1：水冶镇、洪河屯乡、北蒙办、西郊乡等共计</w:t>
      </w:r>
      <w:r>
        <w:rPr>
          <w:rFonts w:hint="eastAsia" w:asciiTheme="minorEastAsia" w:hAnsiTheme="minorEastAsia" w:eastAsiaTheme="minorEastAsia" w:cstheme="minorEastAsia"/>
          <w:color w:val="auto"/>
          <w:sz w:val="24"/>
          <w:szCs w:val="24"/>
          <w:lang w:val="en-US" w:eastAsia="zh-CN"/>
        </w:rPr>
        <w:t>约</w:t>
      </w:r>
      <w:r>
        <w:rPr>
          <w:rFonts w:hint="eastAsia" w:asciiTheme="minorEastAsia" w:hAnsiTheme="minorEastAsia" w:eastAsiaTheme="minorEastAsia" w:cstheme="minorEastAsia"/>
          <w:color w:val="auto"/>
          <w:sz w:val="24"/>
          <w:szCs w:val="24"/>
        </w:rPr>
        <w:t>3.067万亩</w:t>
      </w:r>
      <w:bookmarkEnd w:id="1"/>
      <w:r>
        <w:rPr>
          <w:rFonts w:hint="eastAsia" w:asciiTheme="minorEastAsia" w:hAnsiTheme="minorEastAsia" w:eastAsiaTheme="minorEastAsia" w:cstheme="minorEastAsia"/>
          <w:color w:val="auto"/>
          <w:sz w:val="24"/>
          <w:szCs w:val="24"/>
        </w:rPr>
        <w:t>，</w:t>
      </w:r>
      <w:bookmarkStart w:id="2" w:name="OLE_LINK9"/>
      <w:r>
        <w:rPr>
          <w:rFonts w:hint="eastAsia" w:asciiTheme="minorEastAsia" w:hAnsiTheme="minorEastAsia" w:eastAsiaTheme="minorEastAsia" w:cstheme="minorEastAsia"/>
          <w:color w:val="auto"/>
          <w:sz w:val="24"/>
          <w:szCs w:val="24"/>
        </w:rPr>
        <w:t>包2：安丰乡、曲沟镇等共计</w:t>
      </w:r>
      <w:r>
        <w:rPr>
          <w:rFonts w:hint="eastAsia" w:asciiTheme="minorEastAsia" w:hAnsiTheme="minorEastAsia" w:eastAsiaTheme="minorEastAsia" w:cstheme="minorEastAsia"/>
          <w:color w:val="auto"/>
          <w:sz w:val="24"/>
          <w:szCs w:val="24"/>
          <w:lang w:val="en-US" w:eastAsia="zh-CN"/>
        </w:rPr>
        <w:t>约</w:t>
      </w:r>
      <w:r>
        <w:rPr>
          <w:rFonts w:hint="eastAsia" w:asciiTheme="minorEastAsia" w:hAnsiTheme="minorEastAsia" w:eastAsiaTheme="minorEastAsia" w:cstheme="minorEastAsia"/>
          <w:color w:val="auto"/>
          <w:sz w:val="24"/>
          <w:szCs w:val="24"/>
        </w:rPr>
        <w:t>3万亩</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详见</w:t>
      </w:r>
      <w:r>
        <w:rPr>
          <w:rFonts w:hint="eastAsia" w:asciiTheme="minorEastAsia" w:hAnsiTheme="minorEastAsia" w:eastAsiaTheme="minorEastAsia" w:cstheme="minorEastAsia"/>
          <w:color w:val="auto"/>
          <w:sz w:val="24"/>
          <w:szCs w:val="24"/>
          <w:lang w:eastAsia="zh-CN"/>
        </w:rPr>
        <w:t>《谈判文件》</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服务</w:t>
      </w:r>
      <w:r>
        <w:rPr>
          <w:rFonts w:hint="eastAsia" w:asciiTheme="minorEastAsia" w:hAnsiTheme="minorEastAsia" w:eastAsiaTheme="minorEastAsia" w:cstheme="minorEastAsia"/>
          <w:color w:val="auto"/>
          <w:sz w:val="24"/>
          <w:szCs w:val="24"/>
        </w:rPr>
        <w:t>要求”</w:t>
      </w:r>
      <w:bookmarkEnd w:id="2"/>
      <w:r>
        <w:rPr>
          <w:rFonts w:hint="eastAsia" w:asciiTheme="minorEastAsia" w:hAnsiTheme="minorEastAsia" w:eastAsiaTheme="minorEastAsia" w:cstheme="minorEastAsia"/>
          <w:color w:val="auto"/>
          <w:sz w:val="24"/>
          <w:szCs w:val="24"/>
        </w:rPr>
        <w:t>。</w:t>
      </w:r>
    </w:p>
    <w:p w14:paraId="0FB01222">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1.6</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合同履行期限：</w:t>
      </w:r>
      <w:r>
        <w:rPr>
          <w:rFonts w:hint="eastAsia" w:asciiTheme="minorEastAsia" w:hAnsiTheme="minorEastAsia" w:eastAsiaTheme="minorEastAsia" w:cstheme="minorEastAsia"/>
          <w:color w:val="auto"/>
          <w:sz w:val="24"/>
          <w:szCs w:val="24"/>
          <w:highlight w:val="none"/>
        </w:rPr>
        <w:t>合同签订日起</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日内</w:t>
      </w:r>
    </w:p>
    <w:p w14:paraId="610A9EAE">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本项目（是/否）接受联合体投标：否</w:t>
      </w:r>
    </w:p>
    <w:p w14:paraId="5BC3DB26">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auto"/>
          <w:sz w:val="24"/>
          <w:szCs w:val="24"/>
        </w:rPr>
        <w:t>1.8</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是否接受进口产品：否</w:t>
      </w:r>
    </w:p>
    <w:p w14:paraId="6CBB10EF">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sz w:val="24"/>
          <w:szCs w:val="24"/>
        </w:rPr>
      </w:pPr>
    </w:p>
    <w:p w14:paraId="2FCD8D9E">
      <w:pPr>
        <w:widowControl w:val="0"/>
        <w:snapToGrid w:val="0"/>
        <w:spacing w:line="360" w:lineRule="auto"/>
        <w:ind w:firstLine="562" w:firstLineChars="200"/>
        <w:rPr>
          <w:rFonts w:hint="default" w:ascii="黑体" w:hAnsi="黑体" w:eastAsia="黑体"/>
          <w:b/>
          <w:color w:val="auto"/>
          <w:sz w:val="28"/>
          <w:szCs w:val="28"/>
          <w:lang w:val="en-US" w:eastAsia="zh-CN"/>
        </w:rPr>
      </w:pPr>
      <w:bookmarkStart w:id="3" w:name="_Toc35393622"/>
      <w:bookmarkStart w:id="4" w:name="_Toc28359080"/>
      <w:bookmarkStart w:id="5" w:name="_Toc28359003"/>
      <w:bookmarkStart w:id="6" w:name="_Toc35393791"/>
      <w:r>
        <w:rPr>
          <w:rFonts w:hint="eastAsia" w:ascii="黑体" w:hAnsi="黑体" w:eastAsia="黑体"/>
          <w:b/>
          <w:color w:val="auto"/>
          <w:sz w:val="28"/>
          <w:szCs w:val="28"/>
        </w:rPr>
        <w:t>包1、包2：</w:t>
      </w:r>
    </w:p>
    <w:p w14:paraId="20C1D14D">
      <w:pPr>
        <w:widowControl w:val="0"/>
        <w:snapToGrid w:val="0"/>
        <w:spacing w:line="360" w:lineRule="auto"/>
        <w:ind w:firstLine="562" w:firstLineChars="200"/>
        <w:rPr>
          <w:rFonts w:ascii="黑体" w:hAnsi="黑体" w:eastAsia="黑体"/>
          <w:b/>
          <w:color w:val="000000" w:themeColor="text1"/>
          <w:sz w:val="28"/>
          <w:szCs w:val="28"/>
        </w:rPr>
      </w:pPr>
      <w:r>
        <w:rPr>
          <w:rFonts w:hint="eastAsia" w:ascii="黑体" w:hAnsi="黑体" w:eastAsia="黑体"/>
          <w:b/>
          <w:color w:val="auto"/>
          <w:sz w:val="28"/>
          <w:szCs w:val="28"/>
        </w:rPr>
        <w:t>2.申请人的资格要求</w:t>
      </w:r>
      <w:r>
        <w:rPr>
          <w:rFonts w:hint="eastAsia" w:ascii="黑体" w:hAnsi="黑体" w:eastAsia="黑体"/>
          <w:b/>
          <w:color w:val="000000" w:themeColor="text1"/>
          <w:sz w:val="28"/>
          <w:szCs w:val="28"/>
        </w:rPr>
        <w:t>：</w:t>
      </w:r>
      <w:bookmarkEnd w:id="3"/>
      <w:bookmarkEnd w:id="4"/>
      <w:bookmarkEnd w:id="5"/>
      <w:bookmarkEnd w:id="6"/>
    </w:p>
    <w:p w14:paraId="382093F6">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2.1</w:t>
      </w:r>
      <w:r>
        <w:rPr>
          <w:rFonts w:hint="eastAsia" w:asciiTheme="minorEastAsia" w:hAnsiTheme="minorEastAsia" w:eastAsiaTheme="minorEastAsia" w:cstheme="minorEastAsia"/>
          <w:color w:val="000000" w:themeColor="text1"/>
          <w:sz w:val="24"/>
          <w:szCs w:val="24"/>
          <w:lang w:val="en-US" w:eastAsia="zh-CN"/>
        </w:rPr>
        <w:t xml:space="preserve"> </w:t>
      </w:r>
      <w:r>
        <w:rPr>
          <w:rFonts w:hint="eastAsia" w:asciiTheme="minorEastAsia" w:hAnsiTheme="minorEastAsia" w:eastAsiaTheme="minorEastAsia" w:cstheme="minorEastAsia"/>
          <w:color w:val="000000" w:themeColor="text1"/>
          <w:sz w:val="24"/>
          <w:szCs w:val="24"/>
        </w:rPr>
        <w:t>满足《中华人民共和国政府采购法》第二十二条规定；</w:t>
      </w:r>
    </w:p>
    <w:p w14:paraId="77E99812">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color w:val="000000" w:themeColor="text1"/>
          <w:sz w:val="24"/>
          <w:szCs w:val="24"/>
        </w:rPr>
        <w:t>2.2</w:t>
      </w:r>
      <w:r>
        <w:rPr>
          <w:rFonts w:hint="eastAsia" w:asciiTheme="minorEastAsia" w:hAnsiTheme="minorEastAsia" w:eastAsiaTheme="minorEastAsia" w:cstheme="minorEastAsia"/>
          <w:color w:val="000000" w:themeColor="text1"/>
          <w:sz w:val="24"/>
          <w:szCs w:val="24"/>
          <w:lang w:val="en-US" w:eastAsia="zh-CN"/>
        </w:rPr>
        <w:t xml:space="preserve"> </w:t>
      </w:r>
      <w:r>
        <w:rPr>
          <w:rFonts w:hint="eastAsia" w:asciiTheme="minorEastAsia" w:hAnsiTheme="minorEastAsia" w:eastAsiaTheme="minorEastAsia" w:cstheme="minorEastAsia"/>
          <w:color w:val="000000" w:themeColor="text1"/>
          <w:sz w:val="24"/>
          <w:szCs w:val="24"/>
        </w:rPr>
        <w:t>落实政府采购政策需满足的资格要求</w:t>
      </w:r>
      <w:r>
        <w:rPr>
          <w:rFonts w:hint="eastAsia" w:asciiTheme="minorEastAsia" w:hAnsiTheme="minorEastAsia" w:eastAsiaTheme="minorEastAsia" w:cstheme="minorEastAsia"/>
          <w:b/>
          <w:bCs/>
          <w:color w:val="000000" w:themeColor="text1"/>
          <w:sz w:val="24"/>
          <w:szCs w:val="24"/>
        </w:rPr>
        <w:t>：本</w:t>
      </w:r>
      <w:r>
        <w:rPr>
          <w:rFonts w:hint="eastAsia" w:asciiTheme="minorEastAsia" w:hAnsiTheme="minorEastAsia" w:eastAsiaTheme="minorEastAsia" w:cstheme="minorEastAsia"/>
          <w:b/>
          <w:bCs/>
          <w:color w:val="000000" w:themeColor="text1"/>
          <w:sz w:val="24"/>
          <w:szCs w:val="24"/>
          <w:lang w:val="en-US" w:eastAsia="zh-CN"/>
        </w:rPr>
        <w:t>包</w:t>
      </w:r>
      <w:r>
        <w:rPr>
          <w:rFonts w:hint="eastAsia" w:asciiTheme="minorEastAsia" w:hAnsiTheme="minorEastAsia" w:eastAsiaTheme="minorEastAsia" w:cstheme="minorEastAsia"/>
          <w:b/>
          <w:bCs/>
          <w:color w:val="000000" w:themeColor="text1"/>
          <w:sz w:val="24"/>
          <w:szCs w:val="24"/>
        </w:rPr>
        <w:t>专门面向中小企业采购，■提供《中小企业声明函》。</w:t>
      </w:r>
    </w:p>
    <w:p w14:paraId="63775EC5">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本项目</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包</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的特定资格要求：</w:t>
      </w:r>
    </w:p>
    <w:p w14:paraId="6AF5C64E">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bookmarkStart w:id="7" w:name="OLE_LINK3"/>
      <w:bookmarkStart w:id="8" w:name="OLE_LINK6"/>
      <w:r>
        <w:rPr>
          <w:rFonts w:hint="eastAsia" w:asciiTheme="minorEastAsia" w:hAnsiTheme="minorEastAsia" w:eastAsiaTheme="minorEastAsia" w:cstheme="minorEastAsia"/>
          <w:color w:val="auto"/>
          <w:sz w:val="24"/>
          <w:szCs w:val="24"/>
        </w:rPr>
        <w:t>2.3.1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满足《中华人民共和国政府采购法》第二十二条第一款规定的供应商基础性资格要求；供应商自行承诺并承担后果，承诺书不实的，按《政府采购法》有关提供虚假材料的有关规定给予处罚。</w:t>
      </w:r>
    </w:p>
    <w:p w14:paraId="01E31500">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2.3.2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对供应商的限制性规定</w:t>
      </w:r>
      <w:r>
        <w:rPr>
          <w:rFonts w:hint="eastAsia" w:asciiTheme="minorEastAsia" w:hAnsiTheme="minorEastAsia" w:eastAsiaTheme="minorEastAsia" w:cstheme="minorEastAsia"/>
          <w:color w:val="auto"/>
          <w:sz w:val="24"/>
          <w:szCs w:val="24"/>
          <w:lang w:eastAsia="zh-CN"/>
        </w:rPr>
        <w:t>：</w:t>
      </w:r>
    </w:p>
    <w:p w14:paraId="0729B13B">
      <w:pPr>
        <w:widowControl w:val="0"/>
        <w:snapToGrid w:val="0"/>
        <w:spacing w:line="360" w:lineRule="auto"/>
        <w:ind w:firstLine="540" w:firstLineChars="225"/>
        <w:rPr>
          <w:rFonts w:hint="eastAsia" w:ascii="宋体" w:hAnsi="宋体" w:eastAsia="宋体" w:cs="Times New Roman"/>
          <w:color w:val="auto"/>
          <w:sz w:val="24"/>
          <w:szCs w:val="24"/>
        </w:rPr>
      </w:pPr>
      <w:r>
        <w:rPr>
          <w:rFonts w:hint="eastAsia" w:ascii="宋体" w:hAnsi="宋体" w:eastAsia="宋体" w:cs="Times New Roman"/>
          <w:color w:val="auto"/>
          <w:sz w:val="24"/>
          <w:szCs w:val="24"/>
        </w:rPr>
        <w:t>（1）供应商应当无不良信用记录。(在“信用中国”&lt;www.creditchina.gov.cn&gt;网站的“失信被执行人”和“重大税收违法失信主体”及“中国政府采购网”&lt;www.ccgp.gov.cn&gt;网站的“政府采购严重违法失信行为记录名单”</w:t>
      </w:r>
      <w:r>
        <w:rPr>
          <w:rFonts w:hint="eastAsia" w:ascii="宋体" w:hAnsi="宋体" w:eastAsia="宋体" w:cs="Times New Roman"/>
          <w:b/>
          <w:bCs/>
          <w:color w:val="auto"/>
          <w:sz w:val="24"/>
          <w:szCs w:val="24"/>
        </w:rPr>
        <w:t>均未列入</w:t>
      </w:r>
      <w:r>
        <w:rPr>
          <w:rFonts w:hint="eastAsia" w:ascii="宋体" w:hAnsi="宋体" w:eastAsia="宋体" w:cs="Times New Roman"/>
          <w:color w:val="auto"/>
          <w:sz w:val="24"/>
          <w:szCs w:val="24"/>
        </w:rPr>
        <w:t>)</w:t>
      </w:r>
    </w:p>
    <w:p w14:paraId="3211D425">
      <w:pPr>
        <w:widowControl w:val="0"/>
        <w:snapToGrid w:val="0"/>
        <w:spacing w:line="360" w:lineRule="auto"/>
        <w:ind w:firstLine="540" w:firstLineChars="225"/>
        <w:rPr>
          <w:rFonts w:hint="eastAsia" w:ascii="宋体" w:hAnsi="宋体" w:eastAsia="宋体" w:cs="Times New Roman"/>
          <w:color w:val="auto"/>
          <w:sz w:val="24"/>
          <w:szCs w:val="24"/>
        </w:rPr>
      </w:pPr>
      <w:r>
        <w:rPr>
          <w:rFonts w:hint="eastAsia" w:ascii="宋体" w:hAnsi="宋体" w:eastAsia="宋体" w:cs="Times New Roman"/>
          <w:color w:val="auto"/>
          <w:sz w:val="24"/>
          <w:szCs w:val="24"/>
        </w:rPr>
        <w:t>供应商递交</w:t>
      </w:r>
      <w:r>
        <w:rPr>
          <w:rFonts w:hint="eastAsia" w:ascii="宋体" w:hAnsi="宋体" w:eastAsia="宋体" w:cs="Times New Roman"/>
          <w:color w:val="auto"/>
          <w:sz w:val="24"/>
          <w:szCs w:val="24"/>
          <w:lang w:eastAsia="zh-CN"/>
        </w:rPr>
        <w:t>《响应文件》</w:t>
      </w:r>
      <w:r>
        <w:rPr>
          <w:rFonts w:hint="eastAsia" w:ascii="宋体" w:hAnsi="宋体" w:eastAsia="宋体" w:cs="Times New Roman"/>
          <w:color w:val="auto"/>
          <w:sz w:val="24"/>
          <w:szCs w:val="24"/>
        </w:rPr>
        <w:t>后，采购人或者采购代理机构将按以上信用信息查询渠道在解密</w:t>
      </w:r>
      <w:r>
        <w:rPr>
          <w:rFonts w:hint="eastAsia" w:ascii="宋体" w:hAnsi="宋体" w:eastAsia="宋体" w:cs="Times New Roman"/>
          <w:color w:val="auto"/>
          <w:sz w:val="24"/>
          <w:szCs w:val="24"/>
          <w:lang w:eastAsia="zh-CN"/>
        </w:rPr>
        <w:t>《响应文件》</w:t>
      </w:r>
      <w:r>
        <w:rPr>
          <w:rFonts w:hint="eastAsia" w:ascii="宋体" w:hAnsi="宋体" w:eastAsia="宋体" w:cs="Times New Roman"/>
          <w:color w:val="auto"/>
          <w:sz w:val="24"/>
          <w:szCs w:val="24"/>
        </w:rPr>
        <w:t>之前对参加本项目的供应商信用记录进行查询，供应商有上述任一不良信用记录的，其投标将被拒绝、为无效投标。查询的网页内容将以截图或者拍照作为证据留存。</w:t>
      </w:r>
    </w:p>
    <w:p w14:paraId="21224F47">
      <w:pPr>
        <w:widowControl w:val="0"/>
        <w:snapToGrid w:val="0"/>
        <w:spacing w:line="360" w:lineRule="auto"/>
        <w:ind w:firstLine="540" w:firstLineChars="225"/>
        <w:rPr>
          <w:rFonts w:hint="eastAsia" w:ascii="宋体" w:hAnsi="宋体" w:eastAsia="宋体" w:cs="Times New Roman"/>
          <w:color w:val="auto"/>
          <w:sz w:val="24"/>
          <w:szCs w:val="24"/>
        </w:rPr>
      </w:pPr>
      <w:r>
        <w:rPr>
          <w:rFonts w:hint="eastAsia" w:ascii="宋体" w:hAnsi="宋体" w:eastAsia="宋体" w:cs="Times New Roman"/>
          <w:color w:val="auto"/>
          <w:sz w:val="24"/>
          <w:szCs w:val="24"/>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7B20C775">
      <w:pPr>
        <w:widowControl w:val="0"/>
        <w:snapToGrid w:val="0"/>
        <w:spacing w:line="360" w:lineRule="auto"/>
        <w:ind w:firstLine="540" w:firstLineChars="225"/>
        <w:rPr>
          <w:rFonts w:hint="eastAsia" w:ascii="宋体" w:hAnsi="宋体" w:eastAsia="宋体" w:cs="Times New Roman"/>
          <w:color w:val="auto"/>
          <w:sz w:val="24"/>
          <w:szCs w:val="24"/>
        </w:rPr>
      </w:pPr>
      <w:r>
        <w:rPr>
          <w:rFonts w:hint="eastAsia" w:ascii="宋体" w:hAnsi="宋体" w:eastAsia="宋体" w:cs="Times New Roman"/>
          <w:color w:val="auto"/>
          <w:sz w:val="24"/>
          <w:szCs w:val="24"/>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483D03A8">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2.3.3</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项目</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包</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的特定资格要求：</w:t>
      </w:r>
    </w:p>
    <w:p w14:paraId="09432CA8">
      <w:pPr>
        <w:widowControl w:val="0"/>
        <w:snapToGrid w:val="0"/>
        <w:spacing w:line="360" w:lineRule="auto"/>
        <w:ind w:firstLine="540" w:firstLineChars="225"/>
        <w:rPr>
          <w:rFonts w:hint="default" w:ascii="宋体" w:hAnsi="宋体" w:cs="Times New Roman" w:eastAsiaTheme="minorEastAsia"/>
          <w:color w:val="auto"/>
          <w:sz w:val="24"/>
          <w:szCs w:val="24"/>
          <w:lang w:val="en-US" w:eastAsia="zh-CN"/>
        </w:rPr>
      </w:pP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具备有效的农药经营许可证。</w:t>
      </w:r>
      <w:r>
        <w:rPr>
          <w:rFonts w:hint="eastAsia" w:asciiTheme="minorEastAsia" w:hAnsiTheme="minorEastAsia" w:eastAsiaTheme="minorEastAsia" w:cstheme="minorEastAsia"/>
          <w:b/>
          <w:bCs/>
          <w:color w:val="auto"/>
          <w:sz w:val="24"/>
          <w:szCs w:val="24"/>
          <w:highlight w:val="none"/>
        </w:rPr>
        <w:t>■提供</w:t>
      </w:r>
      <w:r>
        <w:rPr>
          <w:rFonts w:hint="eastAsia" w:asciiTheme="minorEastAsia" w:hAnsiTheme="minorEastAsia" w:eastAsiaTheme="minorEastAsia" w:cstheme="minorEastAsia"/>
          <w:b/>
          <w:bCs/>
          <w:color w:val="auto"/>
          <w:sz w:val="24"/>
          <w:szCs w:val="24"/>
          <w:highlight w:val="none"/>
          <w:lang w:val="en-US" w:eastAsia="zh-CN"/>
        </w:rPr>
        <w:t>相应证书。</w:t>
      </w:r>
    </w:p>
    <w:p w14:paraId="7B084A1F">
      <w:pPr>
        <w:widowControl w:val="0"/>
        <w:snapToGrid w:val="0"/>
        <w:spacing w:line="360" w:lineRule="auto"/>
        <w:ind w:firstLine="540" w:firstLineChars="225"/>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）具备法律、行政法规规定的其他条件。</w:t>
      </w:r>
    </w:p>
    <w:p w14:paraId="3B8765AC">
      <w:pPr>
        <w:widowControl w:val="0"/>
        <w:snapToGrid w:val="0"/>
        <w:spacing w:line="360" w:lineRule="auto"/>
        <w:ind w:firstLine="540" w:firstLineChars="225"/>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）本项目（是/否）接受联合体投标：同“项目基本情况”1.7款要求。</w:t>
      </w:r>
    </w:p>
    <w:p w14:paraId="6DAB54E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81" w:firstLineChars="34"/>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注：（1）所有证照均应为有效的证照；文中“近”、“前”指距投标截止时间。</w:t>
      </w:r>
    </w:p>
    <w:p w14:paraId="3E713D9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color="000000"/>
          <w:lang w:val="en-US" w:eastAsia="zh-CN" w:bidi="ar-SA"/>
        </w:rPr>
        <w:t>（2）</w:t>
      </w:r>
      <w:r>
        <w:rPr>
          <w:rFonts w:hint="eastAsia" w:asciiTheme="minorEastAsia" w:hAnsiTheme="minorEastAsia" w:eastAsiaTheme="minorEastAsia" w:cstheme="minorEastAsia"/>
          <w:color w:val="auto"/>
          <w:sz w:val="24"/>
          <w:szCs w:val="24"/>
        </w:rPr>
        <w:t>资格证明材料（文件）应附于</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中并经投标人电子签章。投标人对资格证明材料（文件）真实性有效合规承担责任，提供虚假材料的为无效投标并将进一步追究其责任。</w:t>
      </w:r>
    </w:p>
    <w:p w14:paraId="4113FC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u w:color="000000"/>
          <w:lang w:val="en-US" w:eastAsia="zh-CN" w:bidi="ar-SA"/>
        </w:rPr>
      </w:pPr>
      <w:r>
        <w:rPr>
          <w:rFonts w:hint="eastAsia" w:asciiTheme="minorEastAsia" w:hAnsiTheme="minorEastAsia" w:eastAsiaTheme="minorEastAsia" w:cstheme="minorEastAsia"/>
          <w:color w:val="auto"/>
          <w:sz w:val="24"/>
          <w:szCs w:val="24"/>
          <w:u w:color="000000"/>
          <w:lang w:val="en-US" w:eastAsia="zh-CN" w:bidi="ar-SA"/>
        </w:rPr>
        <w:t>（3）本项目采取资格后审，开标后，将由谈判小组对投标人的资格证明材料（文件）进行资格审核，未按要求逐一提供、或资格审查不合格的为无效投标，投标人应自负其风险费用。</w:t>
      </w:r>
      <w:bookmarkEnd w:id="7"/>
    </w:p>
    <w:bookmarkEnd w:id="8"/>
    <w:p w14:paraId="344798F2">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b/>
          <w:color w:val="auto"/>
          <w:sz w:val="24"/>
          <w:szCs w:val="24"/>
        </w:rPr>
      </w:pPr>
    </w:p>
    <w:p w14:paraId="21CF71B0">
      <w:pPr>
        <w:widowControl w:val="0"/>
        <w:snapToGrid w:val="0"/>
        <w:spacing w:line="360" w:lineRule="auto"/>
        <w:ind w:firstLine="562" w:firstLineChars="200"/>
        <w:rPr>
          <w:rFonts w:hint="eastAsia" w:ascii="黑体" w:hAnsi="黑体" w:eastAsia="黑体" w:cs="Times New Roman"/>
          <w:b/>
          <w:color w:val="auto"/>
          <w:sz w:val="28"/>
          <w:szCs w:val="28"/>
          <w:lang w:eastAsia="zh-CN"/>
        </w:rPr>
      </w:pPr>
      <w:r>
        <w:rPr>
          <w:rFonts w:hint="eastAsia" w:ascii="黑体" w:hAnsi="黑体" w:eastAsia="黑体" w:cs="Times New Roman"/>
          <w:b/>
          <w:color w:val="auto"/>
          <w:sz w:val="28"/>
          <w:szCs w:val="28"/>
        </w:rPr>
        <w:t>3.获取</w:t>
      </w:r>
      <w:r>
        <w:rPr>
          <w:rFonts w:hint="eastAsia" w:ascii="黑体" w:hAnsi="黑体" w:eastAsia="黑体" w:cs="Times New Roman"/>
          <w:b/>
          <w:color w:val="auto"/>
          <w:sz w:val="28"/>
          <w:szCs w:val="28"/>
          <w:lang w:eastAsia="zh-CN"/>
        </w:rPr>
        <w:t>《谈判文件》：</w:t>
      </w:r>
    </w:p>
    <w:p w14:paraId="524C1476">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auto"/>
          <w:sz w:val="24"/>
          <w:szCs w:val="24"/>
          <w:lang w:val="en-US" w:eastAsia="zh-CN"/>
        </w:rPr>
        <w:t>2026</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14</w:t>
      </w:r>
      <w:r>
        <w:rPr>
          <w:rFonts w:hint="eastAsia" w:asciiTheme="minorEastAsia" w:hAnsiTheme="minorEastAsia" w:eastAsiaTheme="minorEastAsia" w:cstheme="minorEastAsia"/>
          <w:color w:val="auto"/>
          <w:sz w:val="24"/>
          <w:szCs w:val="24"/>
        </w:rPr>
        <w:t>日至</w:t>
      </w:r>
      <w:r>
        <w:rPr>
          <w:rFonts w:hint="eastAsia" w:asciiTheme="minorEastAsia" w:hAnsiTheme="minorEastAsia" w:eastAsiaTheme="minorEastAsia" w:cstheme="minorEastAsia"/>
          <w:color w:val="auto"/>
          <w:sz w:val="24"/>
          <w:szCs w:val="24"/>
          <w:lang w:val="en-US" w:eastAsia="zh-CN"/>
        </w:rPr>
        <w:t>2026</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highlight w:val="none"/>
        </w:rPr>
        <w:t>每天上午</w:t>
      </w:r>
      <w:r>
        <w:rPr>
          <w:rFonts w:hint="eastAsia" w:asciiTheme="minorEastAsia" w:hAnsiTheme="minorEastAsia" w:eastAsiaTheme="minorEastAsia" w:cstheme="minorEastAsia"/>
          <w:color w:val="auto"/>
          <w:sz w:val="24"/>
          <w:szCs w:val="24"/>
          <w:highlight w:val="none"/>
          <w:lang w:val="en-US" w:eastAsia="zh-CN"/>
        </w:rPr>
        <w:t>00：00</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lang w:val="en-US" w:eastAsia="zh-CN"/>
        </w:rPr>
        <w:t>12：00</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lang w:val="en-US" w:eastAsia="zh-CN"/>
        </w:rPr>
        <w:t>12：00</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lang w:val="en-US" w:eastAsia="zh-CN"/>
        </w:rPr>
        <w:t>23：59</w:t>
      </w:r>
      <w:r>
        <w:rPr>
          <w:rFonts w:hint="eastAsia" w:asciiTheme="minorEastAsia" w:hAnsiTheme="minorEastAsia" w:eastAsiaTheme="minorEastAsia" w:cstheme="minorEastAsia"/>
          <w:color w:val="auto"/>
          <w:sz w:val="24"/>
          <w:szCs w:val="24"/>
          <w:highlight w:val="none"/>
        </w:rPr>
        <w:t>（北京时间，法定节假日除外）</w:t>
      </w:r>
      <w:r>
        <w:rPr>
          <w:rFonts w:hint="eastAsia" w:asciiTheme="minorEastAsia" w:hAnsiTheme="minorEastAsia" w:eastAsiaTheme="minorEastAsia" w:cstheme="minorEastAsia"/>
          <w:color w:val="auto"/>
          <w:sz w:val="24"/>
          <w:szCs w:val="24"/>
          <w:highlight w:val="none"/>
          <w:lang w:eastAsia="zh-CN"/>
        </w:rPr>
        <w:t>。</w:t>
      </w:r>
    </w:p>
    <w:p w14:paraId="6CAFB482">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地点：登录殷都区公共资源交易中心网站</w:t>
      </w:r>
      <w:r>
        <w:rPr>
          <w:rFonts w:hint="eastAsia" w:asciiTheme="minorEastAsia" w:hAnsiTheme="minorEastAsia" w:eastAsiaTheme="minorEastAsia" w:cstheme="minorEastAsia"/>
          <w:color w:val="auto"/>
          <w:sz w:val="21"/>
          <w:szCs w:val="21"/>
        </w:rPr>
        <w:t>（https://ggzy.anyang.gov.cn/ydggzy）</w:t>
      </w:r>
      <w:r>
        <w:rPr>
          <w:rFonts w:hint="eastAsia" w:asciiTheme="minorEastAsia" w:hAnsiTheme="minorEastAsia" w:eastAsiaTheme="minorEastAsia" w:cstheme="minorEastAsia"/>
          <w:color w:val="auto"/>
          <w:sz w:val="24"/>
          <w:szCs w:val="24"/>
        </w:rPr>
        <w:t>，在【交易主体登录】入口完成注册。凭数字证书下载</w:t>
      </w:r>
      <w:r>
        <w:rPr>
          <w:rFonts w:hint="eastAsia" w:asciiTheme="minorEastAsia" w:hAnsiTheme="minorEastAsia" w:eastAsiaTheme="minorEastAsia" w:cstheme="minorEastAsia"/>
          <w:color w:val="auto"/>
          <w:sz w:val="24"/>
          <w:szCs w:val="24"/>
          <w:lang w:eastAsia="zh-CN"/>
        </w:rPr>
        <w:t>《谈判文件》</w:t>
      </w:r>
      <w:r>
        <w:rPr>
          <w:rFonts w:hint="eastAsia" w:asciiTheme="minorEastAsia" w:hAnsiTheme="minorEastAsia" w:eastAsiaTheme="minorEastAsia" w:cstheme="minorEastAsia"/>
          <w:color w:val="auto"/>
          <w:sz w:val="24"/>
          <w:szCs w:val="24"/>
        </w:rPr>
        <w:t>及其它资料。</w:t>
      </w:r>
    </w:p>
    <w:p w14:paraId="1F77E0B1">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方式：网上下载；具体流程请查询殷都区公共资源交易中心网站-服务指南-操作手册-《安阳市公共资源交易系统投标人（供应商）操作手册》。如有技术问题请咨询400-998-0000、0372-3387739。</w:t>
      </w:r>
    </w:p>
    <w:p w14:paraId="465596AE">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售价：0元</w:t>
      </w:r>
    </w:p>
    <w:p w14:paraId="0ACB2576">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rFonts w:hint="eastAsia" w:asciiTheme="minorEastAsia" w:hAnsiTheme="minorEastAsia" w:eastAsiaTheme="minorEastAsia" w:cstheme="minorEastAsia"/>
          <w:b/>
          <w:color w:val="0033CC"/>
          <w:sz w:val="24"/>
          <w:szCs w:val="24"/>
        </w:rPr>
      </w:pPr>
    </w:p>
    <w:p w14:paraId="38A33592">
      <w:pPr>
        <w:widowControl w:val="0"/>
        <w:snapToGrid w:val="0"/>
        <w:spacing w:line="360" w:lineRule="auto"/>
        <w:ind w:firstLine="562" w:firstLineChars="200"/>
        <w:rPr>
          <w:rFonts w:hint="eastAsia" w:ascii="黑体" w:hAnsi="黑体" w:eastAsia="黑体" w:cs="Times New Roman"/>
          <w:b/>
          <w:color w:val="auto"/>
          <w:sz w:val="28"/>
          <w:szCs w:val="28"/>
          <w:lang w:eastAsia="zh-CN"/>
        </w:rPr>
      </w:pPr>
      <w:r>
        <w:rPr>
          <w:rFonts w:hint="eastAsia" w:ascii="黑体" w:hAnsi="黑体" w:eastAsia="黑体" w:cs="Times New Roman"/>
          <w:b/>
          <w:color w:val="auto"/>
          <w:sz w:val="28"/>
          <w:szCs w:val="28"/>
        </w:rPr>
        <w:t>4.</w:t>
      </w:r>
      <w:r>
        <w:rPr>
          <w:rFonts w:hint="eastAsia" w:ascii="黑体" w:hAnsi="黑体" w:eastAsia="黑体" w:cs="Times New Roman"/>
          <w:b/>
          <w:color w:val="auto"/>
          <w:sz w:val="28"/>
          <w:szCs w:val="28"/>
          <w:lang w:eastAsia="zh-CN"/>
        </w:rPr>
        <w:t>《响应文件》</w:t>
      </w:r>
      <w:r>
        <w:rPr>
          <w:rFonts w:hint="eastAsia" w:ascii="黑体" w:hAnsi="黑体" w:eastAsia="黑体" w:cs="Times New Roman"/>
          <w:b/>
          <w:color w:val="auto"/>
          <w:sz w:val="28"/>
          <w:szCs w:val="28"/>
        </w:rPr>
        <w:t>提交</w:t>
      </w:r>
      <w:r>
        <w:rPr>
          <w:rFonts w:hint="eastAsia" w:ascii="黑体" w:hAnsi="黑体" w:eastAsia="黑体" w:cs="Times New Roman"/>
          <w:b/>
          <w:color w:val="auto"/>
          <w:sz w:val="28"/>
          <w:szCs w:val="28"/>
          <w:lang w:eastAsia="zh-CN"/>
        </w:rPr>
        <w:t>：</w:t>
      </w:r>
    </w:p>
    <w:p w14:paraId="3BF34E53">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截止时间：2026年</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时</w:t>
      </w:r>
      <w:r>
        <w:rPr>
          <w:rFonts w:hint="eastAsia" w:asciiTheme="minorEastAsia" w:hAnsiTheme="minorEastAsia" w:eastAsiaTheme="minorEastAsia" w:cstheme="minorEastAsia"/>
          <w:color w:val="auto"/>
          <w:sz w:val="24"/>
          <w:szCs w:val="24"/>
          <w:lang w:val="en-US" w:eastAsia="zh-CN"/>
        </w:rPr>
        <w:t>00</w:t>
      </w:r>
      <w:r>
        <w:rPr>
          <w:rFonts w:hint="eastAsia" w:asciiTheme="minorEastAsia" w:hAnsiTheme="minorEastAsia" w:eastAsiaTheme="minorEastAsia" w:cstheme="minorEastAsia"/>
          <w:color w:val="auto"/>
          <w:sz w:val="24"/>
          <w:szCs w:val="24"/>
        </w:rPr>
        <w:t>分（北京时间）</w:t>
      </w:r>
    </w:p>
    <w:p w14:paraId="2CB48274">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地点：于殷都区公共资源交易平台网上上传递交、并由</w:t>
      </w: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rPr>
        <w:t>在规定时间远程解密。</w:t>
      </w:r>
    </w:p>
    <w:p w14:paraId="5172FD82">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rFonts w:hint="eastAsia" w:asciiTheme="minorEastAsia" w:hAnsiTheme="minorEastAsia" w:eastAsiaTheme="minorEastAsia" w:cstheme="minorEastAsia"/>
          <w:color w:val="auto"/>
          <w:sz w:val="24"/>
          <w:szCs w:val="24"/>
        </w:rPr>
      </w:pPr>
    </w:p>
    <w:p w14:paraId="231E77B5">
      <w:pPr>
        <w:widowControl w:val="0"/>
        <w:snapToGrid w:val="0"/>
        <w:spacing w:line="360" w:lineRule="auto"/>
        <w:ind w:firstLine="562" w:firstLineChars="200"/>
        <w:rPr>
          <w:rFonts w:hint="eastAsia" w:ascii="黑体" w:hAnsi="黑体" w:eastAsia="黑体" w:cs="Times New Roman"/>
          <w:b/>
          <w:color w:val="auto"/>
          <w:sz w:val="28"/>
          <w:szCs w:val="28"/>
          <w:lang w:eastAsia="zh-CN"/>
        </w:rPr>
      </w:pPr>
      <w:r>
        <w:rPr>
          <w:rFonts w:hint="eastAsia" w:ascii="黑体" w:hAnsi="黑体" w:eastAsia="黑体" w:cs="Times New Roman"/>
          <w:b/>
          <w:color w:val="auto"/>
          <w:sz w:val="28"/>
          <w:szCs w:val="28"/>
        </w:rPr>
        <w:t>5.</w:t>
      </w:r>
      <w:r>
        <w:rPr>
          <w:rFonts w:hint="eastAsia" w:ascii="黑体" w:hAnsi="黑体" w:eastAsia="黑体" w:cs="Times New Roman"/>
          <w:b/>
          <w:color w:val="auto"/>
          <w:sz w:val="28"/>
          <w:szCs w:val="28"/>
          <w:lang w:eastAsia="zh-CN"/>
        </w:rPr>
        <w:t>《响应文件》</w:t>
      </w:r>
      <w:r>
        <w:rPr>
          <w:rFonts w:hint="eastAsia" w:ascii="黑体" w:hAnsi="黑体" w:eastAsia="黑体" w:cs="Times New Roman"/>
          <w:b/>
          <w:color w:val="auto"/>
          <w:sz w:val="28"/>
          <w:szCs w:val="28"/>
        </w:rPr>
        <w:t>开启</w:t>
      </w:r>
      <w:r>
        <w:rPr>
          <w:rFonts w:hint="eastAsia" w:ascii="黑体" w:hAnsi="黑体" w:eastAsia="黑体" w:cs="Times New Roman"/>
          <w:b/>
          <w:color w:val="auto"/>
          <w:sz w:val="28"/>
          <w:szCs w:val="28"/>
          <w:lang w:eastAsia="zh-CN"/>
        </w:rPr>
        <w:t>：</w:t>
      </w:r>
    </w:p>
    <w:p w14:paraId="6C3EA5A5">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时间：2026年</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时</w:t>
      </w:r>
      <w:r>
        <w:rPr>
          <w:rFonts w:hint="eastAsia" w:asciiTheme="minorEastAsia" w:hAnsiTheme="minorEastAsia" w:eastAsiaTheme="minorEastAsia" w:cstheme="minorEastAsia"/>
          <w:color w:val="auto"/>
          <w:sz w:val="24"/>
          <w:szCs w:val="24"/>
          <w:lang w:val="en-US" w:eastAsia="zh-CN"/>
        </w:rPr>
        <w:t>00</w:t>
      </w:r>
      <w:r>
        <w:rPr>
          <w:rFonts w:hint="eastAsia" w:asciiTheme="minorEastAsia" w:hAnsiTheme="minorEastAsia" w:eastAsiaTheme="minorEastAsia" w:cstheme="minorEastAsia"/>
          <w:color w:val="auto"/>
          <w:sz w:val="24"/>
          <w:szCs w:val="24"/>
        </w:rPr>
        <w:t>分（北京时间）</w:t>
      </w:r>
    </w:p>
    <w:p w14:paraId="73758D18">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z w:val="24"/>
          <w:szCs w:val="24"/>
          <w:highlight w:val="none"/>
        </w:rPr>
        <w:t>（管理员网上操作地点）：</w:t>
      </w:r>
      <w:r>
        <w:rPr>
          <w:rFonts w:hint="eastAsia" w:asciiTheme="minorEastAsia" w:hAnsiTheme="minorEastAsia" w:eastAsiaTheme="minorEastAsia" w:cstheme="minorEastAsia"/>
          <w:color w:val="auto"/>
          <w:sz w:val="24"/>
          <w:szCs w:val="24"/>
        </w:rPr>
        <w:t>殷都区公共资源交易二楼开标</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室（安阳市高新区文昌大道与东风路交叉口向南300米路西 东风路342号）。</w:t>
      </w:r>
    </w:p>
    <w:p w14:paraId="15DC376F">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5.3</w:t>
      </w:r>
      <w:r>
        <w:rPr>
          <w:rFonts w:hint="eastAsia" w:asciiTheme="minorEastAsia" w:hAnsiTheme="minorEastAsia" w:eastAsiaTheme="minorEastAsia" w:cstheme="minorEastAsia"/>
          <w:color w:val="auto"/>
          <w:sz w:val="24"/>
          <w:szCs w:val="24"/>
          <w:lang w:val="en-US" w:eastAsia="zh-CN"/>
        </w:rPr>
        <w:t xml:space="preserve"> </w:t>
      </w:r>
      <w:bookmarkStart w:id="9" w:name="OLE_LINK4"/>
      <w:r>
        <w:rPr>
          <w:rFonts w:hint="eastAsia" w:asciiTheme="minorEastAsia" w:hAnsiTheme="minorEastAsia" w:eastAsiaTheme="minorEastAsia" w:cstheme="minorEastAsia"/>
          <w:color w:val="auto"/>
          <w:sz w:val="24"/>
          <w:szCs w:val="24"/>
        </w:rPr>
        <w:t>本项目采用远程不见面交易的模式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开标当日，投标人无需到开标现场参加开标会议，投标人应当在投标截止时间前，使用IE浏览器登录到安阳市公共资源交易不见面开标大厅，点击右上方【登录】按钮进入，在线准时参加开标活动并进行</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解密等。因投标人原因未能解密、解密失败或解密超时的将被拒绝。</w:t>
      </w:r>
      <w:bookmarkEnd w:id="9"/>
    </w:p>
    <w:p w14:paraId="4270CAFE">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rFonts w:hint="eastAsia" w:asciiTheme="minorEastAsia" w:hAnsiTheme="minorEastAsia" w:eastAsiaTheme="minorEastAsia" w:cstheme="minorEastAsia"/>
          <w:b/>
          <w:color w:val="0033CC"/>
          <w:sz w:val="24"/>
          <w:szCs w:val="24"/>
        </w:rPr>
      </w:pPr>
    </w:p>
    <w:p w14:paraId="42AFCCE2">
      <w:pPr>
        <w:widowControl w:val="0"/>
        <w:snapToGrid w:val="0"/>
        <w:spacing w:line="360" w:lineRule="auto"/>
        <w:ind w:firstLine="562" w:firstLineChars="200"/>
        <w:rPr>
          <w:rFonts w:hint="eastAsia" w:ascii="黑体" w:hAnsi="黑体" w:eastAsia="黑体" w:cs="Times New Roman"/>
          <w:b/>
          <w:color w:val="auto"/>
          <w:sz w:val="28"/>
          <w:szCs w:val="28"/>
          <w:lang w:eastAsia="zh-CN"/>
        </w:rPr>
      </w:pPr>
      <w:r>
        <w:rPr>
          <w:rFonts w:hint="eastAsia" w:ascii="黑体" w:hAnsi="黑体" w:eastAsia="黑体" w:cs="Times New Roman"/>
          <w:b/>
          <w:color w:val="auto"/>
          <w:sz w:val="28"/>
          <w:szCs w:val="28"/>
        </w:rPr>
        <w:t>6.发布公告的媒介及公告期限</w:t>
      </w:r>
      <w:r>
        <w:rPr>
          <w:rFonts w:hint="eastAsia" w:ascii="黑体" w:hAnsi="黑体" w:eastAsia="黑体" w:cs="Times New Roman"/>
          <w:b/>
          <w:color w:val="auto"/>
          <w:sz w:val="28"/>
          <w:szCs w:val="28"/>
          <w:lang w:eastAsia="zh-CN"/>
        </w:rPr>
        <w:t>：</w:t>
      </w:r>
    </w:p>
    <w:p w14:paraId="3E723AD8">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本项目在“河南省政府采购网（安阳市政府采购网）”、“全国公共资源交易平台（河南省·殷都区）殷都区公共资源交易中心”、“安阳招标采购网”网站上同期发布。公告期限为三个工作日。</w:t>
      </w:r>
    </w:p>
    <w:p w14:paraId="57CCD157">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rFonts w:ascii="宋体" w:hAnsi="宋体" w:cs="宋体"/>
          <w:sz w:val="24"/>
          <w:szCs w:val="24"/>
        </w:rPr>
      </w:pPr>
    </w:p>
    <w:p w14:paraId="1933630C">
      <w:pPr>
        <w:widowControl w:val="0"/>
        <w:snapToGrid w:val="0"/>
        <w:spacing w:line="360" w:lineRule="auto"/>
        <w:ind w:firstLine="562" w:firstLineChars="200"/>
        <w:rPr>
          <w:rFonts w:hint="eastAsia" w:ascii="黑体" w:hAnsi="黑体" w:eastAsia="黑体" w:cs="Times New Roman"/>
          <w:b/>
          <w:color w:val="auto"/>
          <w:sz w:val="28"/>
          <w:szCs w:val="28"/>
          <w:lang w:eastAsia="zh-CN"/>
        </w:rPr>
      </w:pPr>
      <w:r>
        <w:rPr>
          <w:rFonts w:hint="eastAsia" w:ascii="黑体" w:hAnsi="黑体" w:eastAsia="黑体" w:cs="Times New Roman"/>
          <w:b/>
          <w:color w:val="auto"/>
          <w:sz w:val="28"/>
          <w:szCs w:val="28"/>
        </w:rPr>
        <w:t>7.其他补充事宜</w:t>
      </w:r>
      <w:r>
        <w:rPr>
          <w:rFonts w:hint="eastAsia" w:ascii="黑体" w:hAnsi="黑体" w:eastAsia="黑体" w:cs="Times New Roman"/>
          <w:b/>
          <w:color w:val="auto"/>
          <w:sz w:val="28"/>
          <w:szCs w:val="28"/>
          <w:lang w:eastAsia="zh-CN"/>
        </w:rPr>
        <w:t>：</w:t>
      </w:r>
    </w:p>
    <w:p w14:paraId="52166032">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本国产品的支持政策等。</w:t>
      </w:r>
    </w:p>
    <w:p w14:paraId="23FD4BE8">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7.2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政府采购合同融资</w:t>
      </w:r>
      <w:r>
        <w:rPr>
          <w:rFonts w:hint="eastAsia" w:asciiTheme="minorEastAsia" w:hAnsiTheme="minorEastAsia" w:eastAsiaTheme="minorEastAsia" w:cstheme="minorEastAsia"/>
          <w:color w:val="auto"/>
          <w:sz w:val="24"/>
          <w:szCs w:val="24"/>
          <w:lang w:eastAsia="zh-CN"/>
        </w:rPr>
        <w:t>：</w:t>
      </w:r>
    </w:p>
    <w:p w14:paraId="1DBF329E">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15C39008">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7.3</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网上电子交易系统网址</w:t>
      </w:r>
      <w:r>
        <w:rPr>
          <w:rFonts w:hint="eastAsia" w:asciiTheme="minorEastAsia" w:hAnsiTheme="minorEastAsia" w:eastAsiaTheme="minorEastAsia" w:cstheme="minorEastAsia"/>
          <w:color w:val="auto"/>
          <w:sz w:val="24"/>
          <w:szCs w:val="24"/>
          <w:lang w:eastAsia="zh-CN"/>
        </w:rPr>
        <w:t>：</w:t>
      </w:r>
    </w:p>
    <w:p w14:paraId="74DB5E23">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bookmarkStart w:id="10" w:name="_Toc28359085"/>
      <w:bookmarkStart w:id="11" w:name="_Toc35393627"/>
      <w:bookmarkStart w:id="12" w:name="_Toc35393796"/>
      <w:bookmarkStart w:id="13" w:name="_Toc28359008"/>
      <w:r>
        <w:rPr>
          <w:rFonts w:hint="eastAsia" w:asciiTheme="minorEastAsia" w:hAnsiTheme="minorEastAsia" w:eastAsiaTheme="minorEastAsia" w:cstheme="minorEastAsia"/>
          <w:color w:val="auto"/>
          <w:sz w:val="24"/>
          <w:szCs w:val="24"/>
        </w:rPr>
        <w:t>7.3.1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全国公共资源交易平台（河南省·殷都区）</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"https://ggzy.anyang.gov.cn/ydggzy"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https://ggzy.anyang.gov.cn/ydggzy</w:t>
      </w:r>
      <w:r>
        <w:rPr>
          <w:rFonts w:hint="eastAsia" w:asciiTheme="minorEastAsia" w:hAnsiTheme="minorEastAsia" w:eastAsiaTheme="minorEastAsia" w:cstheme="minorEastAsia"/>
          <w:color w:val="auto"/>
          <w:sz w:val="21"/>
          <w:szCs w:val="21"/>
          <w:highlight w:val="none"/>
        </w:rPr>
        <w:fldChar w:fldCharType="end"/>
      </w:r>
    </w:p>
    <w:p w14:paraId="49B204DF">
      <w:pPr>
        <w:keepNext w:val="0"/>
        <w:keepLines w:val="0"/>
        <w:pageBreakBefore w:val="0"/>
        <w:widowControl w:val="0"/>
        <w:kinsoku/>
        <w:wordWrap/>
        <w:overflowPunct/>
        <w:topLinePunct w:val="0"/>
        <w:autoSpaceDE/>
        <w:autoSpaceDN/>
        <w:bidi w:val="0"/>
        <w:adjustRightInd w:val="0"/>
        <w:snapToGrid w:val="0"/>
        <w:spacing w:line="360" w:lineRule="auto"/>
        <w:ind w:firstLine="1260" w:firstLineChars="5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《谈判文件》</w:t>
      </w:r>
      <w:r>
        <w:rPr>
          <w:rFonts w:hint="eastAsia" w:asciiTheme="minorEastAsia" w:hAnsiTheme="minorEastAsia" w:eastAsiaTheme="minorEastAsia" w:cstheme="minorEastAsia"/>
          <w:color w:val="auto"/>
          <w:sz w:val="24"/>
          <w:szCs w:val="24"/>
        </w:rPr>
        <w:t>简称“殷都区公共资源交易平台”</w:t>
      </w:r>
      <w:r>
        <w:rPr>
          <w:rFonts w:hint="eastAsia" w:asciiTheme="minorEastAsia" w:hAnsiTheme="minorEastAsia" w:eastAsiaTheme="minorEastAsia" w:cstheme="minorEastAsia"/>
          <w:color w:val="auto"/>
          <w:sz w:val="24"/>
          <w:szCs w:val="24"/>
        </w:rPr>
        <w:tab/>
      </w:r>
    </w:p>
    <w:p w14:paraId="41FBEEE7">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制作软件：在殷都区公共资源交易平台进行下载、并安装</w:t>
      </w:r>
      <w:r>
        <w:rPr>
          <w:rFonts w:hint="eastAsia" w:asciiTheme="minorEastAsia" w:hAnsiTheme="minorEastAsia" w:eastAsiaTheme="minorEastAsia" w:cstheme="minorEastAsia"/>
          <w:color w:val="auto"/>
          <w:sz w:val="24"/>
          <w:szCs w:val="24"/>
          <w:lang w:eastAsia="zh-CN"/>
        </w:rPr>
        <w:t>投标文件制作工具</w:t>
      </w:r>
      <w:r>
        <w:rPr>
          <w:rFonts w:hint="eastAsia" w:asciiTheme="minorEastAsia" w:hAnsiTheme="minorEastAsia" w:eastAsiaTheme="minorEastAsia" w:cstheme="minorEastAsia"/>
          <w:color w:val="auto"/>
          <w:sz w:val="24"/>
          <w:szCs w:val="24"/>
        </w:rPr>
        <w:t>，查看</w:t>
      </w:r>
      <w:r>
        <w:rPr>
          <w:rFonts w:hint="eastAsia" w:asciiTheme="minorEastAsia" w:hAnsiTheme="minorEastAsia" w:eastAsiaTheme="minorEastAsia" w:cstheme="minorEastAsia"/>
          <w:color w:val="auto"/>
          <w:sz w:val="24"/>
          <w:szCs w:val="24"/>
          <w:lang w:eastAsia="zh-CN"/>
        </w:rPr>
        <w:t>《谈判文件》</w:t>
      </w:r>
      <w:r>
        <w:rPr>
          <w:rFonts w:hint="eastAsia" w:asciiTheme="minorEastAsia" w:hAnsiTheme="minorEastAsia" w:eastAsiaTheme="minorEastAsia" w:cstheme="minorEastAsia"/>
          <w:color w:val="auto"/>
          <w:sz w:val="24"/>
          <w:szCs w:val="24"/>
        </w:rPr>
        <w:t>和制作电子</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w:t>
      </w:r>
    </w:p>
    <w:p w14:paraId="5EFF2A1D">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监督检查提示：政府采购监督管理部门将依据“双随机一公开”原则，定期或不定期随机抽取政府采购项目进行监督检查，审查供应商</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的真实性，重点审查中标、成交供应商，财政部门认为有必要的，可以对其他参加采购活动的供应商一并审查。如发现提供虚假材料谋取中标的情形，将按照政府采购法顶格给予处罚。</w:t>
      </w:r>
    </w:p>
    <w:p w14:paraId="17F4A08F">
      <w:pPr>
        <w:keepNext w:val="0"/>
        <w:keepLines w:val="0"/>
        <w:pageBreakBefore w:val="0"/>
        <w:widowControl w:val="0"/>
        <w:kinsoku/>
        <w:wordWrap/>
        <w:overflowPunct/>
        <w:topLinePunct w:val="0"/>
        <w:autoSpaceDE/>
        <w:autoSpaceDN/>
        <w:bidi w:val="0"/>
        <w:adjustRightInd w:val="0"/>
        <w:snapToGrid w:val="0"/>
        <w:spacing w:line="360" w:lineRule="auto"/>
        <w:ind w:firstLine="542" w:firstLineChars="225"/>
        <w:jc w:val="left"/>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7.5 </w:t>
      </w:r>
      <w:r>
        <w:rPr>
          <w:rFonts w:hint="eastAsia" w:asciiTheme="minorEastAsia" w:hAnsiTheme="minorEastAsia" w:eastAsiaTheme="minorEastAsia" w:cstheme="minorEastAsia"/>
          <w:b/>
          <w:bCs/>
          <w:color w:val="auto"/>
          <w:sz w:val="24"/>
          <w:szCs w:val="24"/>
          <w:lang w:val="en-US" w:eastAsia="zh-CN"/>
        </w:rPr>
        <w:t>特别</w:t>
      </w:r>
      <w:r>
        <w:rPr>
          <w:rFonts w:hint="eastAsia" w:asciiTheme="minorEastAsia" w:hAnsiTheme="minorEastAsia" w:eastAsiaTheme="minorEastAsia" w:cstheme="minorEastAsia"/>
          <w:b/>
          <w:bCs/>
          <w:color w:val="auto"/>
          <w:sz w:val="24"/>
          <w:szCs w:val="24"/>
        </w:rPr>
        <w:t>说明</w:t>
      </w:r>
      <w:r>
        <w:rPr>
          <w:rFonts w:hint="eastAsia" w:asciiTheme="minorEastAsia" w:hAnsiTheme="minorEastAsia" w:eastAsiaTheme="minorEastAsia" w:cstheme="minorEastAsia"/>
          <w:b/>
          <w:bCs/>
          <w:color w:val="auto"/>
          <w:sz w:val="24"/>
          <w:szCs w:val="24"/>
          <w:lang w:eastAsia="zh-CN"/>
        </w:rPr>
        <w:t>：本项目公告“预算金额”、“包预算”、“包最高限价”系采购人预估采购规模，以供项目申报和供应商参考使用。本项目</w:t>
      </w:r>
      <w:r>
        <w:rPr>
          <w:rFonts w:hint="eastAsia" w:asciiTheme="minorEastAsia" w:hAnsiTheme="minorEastAsia" w:eastAsiaTheme="minorEastAsia" w:cstheme="minorEastAsia"/>
          <w:b/>
          <w:bCs/>
          <w:color w:val="auto"/>
          <w:sz w:val="24"/>
          <w:szCs w:val="24"/>
          <w:lang w:val="en-US" w:eastAsia="zh-CN"/>
        </w:rPr>
        <w:t>按照综合单价进行投标报价，综合单价最高限价为：15元/亩，投标报价超过综合单价最高限价的为无效投标。本项目</w:t>
      </w:r>
      <w:r>
        <w:rPr>
          <w:rFonts w:hint="eastAsia" w:asciiTheme="minorEastAsia" w:hAnsiTheme="minorEastAsia" w:eastAsiaTheme="minorEastAsia" w:cstheme="minorEastAsia"/>
          <w:b/>
          <w:bCs/>
          <w:color w:val="auto"/>
          <w:sz w:val="24"/>
          <w:szCs w:val="24"/>
          <w:lang w:eastAsia="zh-CN"/>
        </w:rPr>
        <w:t>合同价款，按照合同履行期限内项目</w:t>
      </w:r>
      <w:r>
        <w:rPr>
          <w:rFonts w:hint="eastAsia" w:asciiTheme="minorEastAsia" w:hAnsiTheme="minorEastAsia" w:eastAsiaTheme="minorEastAsia" w:cstheme="minorEastAsia"/>
          <w:b/>
          <w:bCs/>
          <w:color w:val="auto"/>
          <w:sz w:val="24"/>
          <w:szCs w:val="24"/>
          <w:lang w:val="en-US" w:eastAsia="zh-CN"/>
        </w:rPr>
        <w:t>实际防治面积为准</w:t>
      </w:r>
      <w:r>
        <w:rPr>
          <w:rFonts w:hint="eastAsia" w:asciiTheme="minorEastAsia" w:hAnsiTheme="minorEastAsia" w:eastAsiaTheme="minorEastAsia" w:cstheme="minorEastAsia"/>
          <w:b/>
          <w:bCs/>
          <w:color w:val="auto"/>
          <w:sz w:val="24"/>
          <w:szCs w:val="24"/>
          <w:lang w:eastAsia="zh-CN"/>
        </w:rPr>
        <w:t>、据实结算，</w:t>
      </w:r>
      <w:r>
        <w:rPr>
          <w:rFonts w:hint="eastAsia" w:asciiTheme="minorEastAsia" w:hAnsiTheme="minorEastAsia" w:eastAsiaTheme="minorEastAsia" w:cstheme="minorEastAsia"/>
          <w:b/>
          <w:bCs/>
          <w:color w:val="auto"/>
          <w:sz w:val="24"/>
          <w:szCs w:val="24"/>
          <w:lang w:val="en-US" w:eastAsia="zh-CN"/>
        </w:rPr>
        <w:t>结算金额不超预算金额</w:t>
      </w:r>
      <w:r>
        <w:rPr>
          <w:rFonts w:hint="eastAsia" w:asciiTheme="minorEastAsia" w:hAnsiTheme="minorEastAsia" w:eastAsiaTheme="minorEastAsia" w:cstheme="minorEastAsia"/>
          <w:b/>
          <w:bCs/>
          <w:color w:val="auto"/>
          <w:sz w:val="24"/>
          <w:szCs w:val="24"/>
          <w:lang w:eastAsia="zh-CN"/>
        </w:rPr>
        <w:t>。</w:t>
      </w:r>
    </w:p>
    <w:p w14:paraId="42DE3322">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rFonts w:hint="eastAsia" w:asciiTheme="minorEastAsia" w:hAnsiTheme="minorEastAsia" w:eastAsiaTheme="minorEastAsia" w:cstheme="minorEastAsia"/>
          <w:b/>
          <w:color w:val="auto"/>
          <w:sz w:val="24"/>
          <w:szCs w:val="24"/>
        </w:rPr>
      </w:pPr>
    </w:p>
    <w:p w14:paraId="4AE7BF41">
      <w:pPr>
        <w:widowControl w:val="0"/>
        <w:snapToGrid w:val="0"/>
        <w:spacing w:line="360" w:lineRule="auto"/>
        <w:ind w:firstLine="562" w:firstLineChars="200"/>
        <w:rPr>
          <w:rFonts w:hint="eastAsia" w:ascii="黑体" w:hAnsi="黑体" w:eastAsia="黑体" w:cs="Times New Roman"/>
          <w:b/>
          <w:color w:val="auto"/>
          <w:sz w:val="28"/>
          <w:szCs w:val="28"/>
          <w:lang w:eastAsia="zh-CN"/>
        </w:rPr>
      </w:pPr>
      <w:r>
        <w:rPr>
          <w:rFonts w:hint="eastAsia" w:ascii="黑体" w:hAnsi="黑体" w:eastAsia="黑体" w:cs="Times New Roman"/>
          <w:b/>
          <w:color w:val="auto"/>
          <w:sz w:val="28"/>
          <w:szCs w:val="28"/>
        </w:rPr>
        <w:t>8.凡对本次采购提出询问，请按以下方式联系</w:t>
      </w:r>
      <w:bookmarkEnd w:id="10"/>
      <w:bookmarkEnd w:id="11"/>
      <w:bookmarkEnd w:id="12"/>
      <w:bookmarkEnd w:id="13"/>
      <w:r>
        <w:rPr>
          <w:rFonts w:hint="eastAsia" w:ascii="黑体" w:hAnsi="黑体" w:eastAsia="黑体" w:cs="Times New Roman"/>
          <w:b/>
          <w:color w:val="auto"/>
          <w:sz w:val="28"/>
          <w:szCs w:val="28"/>
          <w:lang w:eastAsia="zh-CN"/>
        </w:rPr>
        <w:t>：</w:t>
      </w:r>
    </w:p>
    <w:p w14:paraId="643F54D9">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8.1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采购人信息</w:t>
      </w:r>
      <w:r>
        <w:rPr>
          <w:rFonts w:hint="eastAsia" w:asciiTheme="minorEastAsia" w:hAnsiTheme="minorEastAsia" w:eastAsiaTheme="minorEastAsia" w:cstheme="minorEastAsia"/>
          <w:color w:val="auto"/>
          <w:sz w:val="24"/>
          <w:szCs w:val="24"/>
          <w:lang w:eastAsia="zh-CN"/>
        </w:rPr>
        <w:t>：</w:t>
      </w:r>
    </w:p>
    <w:p w14:paraId="75B42449">
      <w:pPr>
        <w:keepNext w:val="0"/>
        <w:keepLines w:val="0"/>
        <w:pageBreakBefore w:val="0"/>
        <w:widowControl w:val="0"/>
        <w:kinsoku/>
        <w:wordWrap/>
        <w:overflowPunct/>
        <w:topLinePunct w:val="0"/>
        <w:autoSpaceDE/>
        <w:autoSpaceDN/>
        <w:bidi w:val="0"/>
        <w:adjustRightInd w:val="0"/>
        <w:snapToGrid w:val="0"/>
        <w:spacing w:line="360" w:lineRule="auto"/>
        <w:ind w:firstLine="1020" w:firstLineChars="4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名称：安阳市殷都区农业农村局</w:t>
      </w:r>
    </w:p>
    <w:p w14:paraId="2FBE7B04">
      <w:pPr>
        <w:keepNext w:val="0"/>
        <w:keepLines w:val="0"/>
        <w:pageBreakBefore w:val="0"/>
        <w:widowControl w:val="0"/>
        <w:kinsoku/>
        <w:wordWrap/>
        <w:overflowPunct/>
        <w:topLinePunct w:val="0"/>
        <w:autoSpaceDE/>
        <w:autoSpaceDN/>
        <w:bidi w:val="0"/>
        <w:adjustRightInd w:val="0"/>
        <w:snapToGrid w:val="0"/>
        <w:spacing w:line="360" w:lineRule="auto"/>
        <w:ind w:firstLine="1020" w:firstLineChars="4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地址：安阳市钢一路北段</w:t>
      </w:r>
    </w:p>
    <w:p w14:paraId="5E48809E">
      <w:pPr>
        <w:keepNext w:val="0"/>
        <w:keepLines w:val="0"/>
        <w:pageBreakBefore w:val="0"/>
        <w:widowControl w:val="0"/>
        <w:kinsoku/>
        <w:wordWrap/>
        <w:overflowPunct/>
        <w:topLinePunct w:val="0"/>
        <w:autoSpaceDE/>
        <w:autoSpaceDN/>
        <w:bidi w:val="0"/>
        <w:adjustRightInd w:val="0"/>
        <w:snapToGrid w:val="0"/>
        <w:spacing w:line="360" w:lineRule="auto"/>
        <w:ind w:firstLine="1020" w:firstLineChars="4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联系人：郑涛 </w:t>
      </w:r>
    </w:p>
    <w:p w14:paraId="3E7D1D9C">
      <w:pPr>
        <w:keepNext w:val="0"/>
        <w:keepLines w:val="0"/>
        <w:pageBreakBefore w:val="0"/>
        <w:widowControl w:val="0"/>
        <w:kinsoku/>
        <w:wordWrap/>
        <w:overflowPunct/>
        <w:topLinePunct w:val="0"/>
        <w:autoSpaceDE/>
        <w:autoSpaceDN/>
        <w:bidi w:val="0"/>
        <w:adjustRightInd w:val="0"/>
        <w:snapToGrid w:val="0"/>
        <w:spacing w:line="360" w:lineRule="auto"/>
        <w:ind w:firstLine="1020" w:firstLineChars="4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联系方式：15937265658   </w:t>
      </w:r>
      <w:bookmarkStart w:id="14" w:name="_Toc28359009"/>
      <w:bookmarkStart w:id="15" w:name="_Toc28359086"/>
    </w:p>
    <w:p w14:paraId="486AC61F">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8.2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采购代理机构信息</w:t>
      </w:r>
      <w:bookmarkEnd w:id="14"/>
      <w:bookmarkEnd w:id="15"/>
      <w:r>
        <w:rPr>
          <w:rFonts w:hint="eastAsia" w:asciiTheme="minorEastAsia" w:hAnsiTheme="minorEastAsia" w:eastAsiaTheme="minorEastAsia" w:cstheme="minorEastAsia"/>
          <w:color w:val="auto"/>
          <w:sz w:val="24"/>
          <w:szCs w:val="24"/>
          <w:lang w:eastAsia="zh-CN"/>
        </w:rPr>
        <w:t>：</w:t>
      </w:r>
    </w:p>
    <w:p w14:paraId="448A99B6">
      <w:pPr>
        <w:keepNext w:val="0"/>
        <w:keepLines w:val="0"/>
        <w:pageBreakBefore w:val="0"/>
        <w:widowControl w:val="0"/>
        <w:kinsoku/>
        <w:wordWrap/>
        <w:overflowPunct/>
        <w:topLinePunct w:val="0"/>
        <w:autoSpaceDE/>
        <w:autoSpaceDN/>
        <w:bidi w:val="0"/>
        <w:adjustRightInd w:val="0"/>
        <w:snapToGrid w:val="0"/>
        <w:spacing w:line="360" w:lineRule="auto"/>
        <w:ind w:firstLine="1020" w:firstLineChars="4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名称：安阳市方正招标采购服务有限责任公司</w:t>
      </w:r>
    </w:p>
    <w:p w14:paraId="537CD975">
      <w:pPr>
        <w:keepNext w:val="0"/>
        <w:keepLines w:val="0"/>
        <w:pageBreakBefore w:val="0"/>
        <w:widowControl w:val="0"/>
        <w:kinsoku/>
        <w:wordWrap/>
        <w:overflowPunct/>
        <w:topLinePunct w:val="0"/>
        <w:autoSpaceDE/>
        <w:autoSpaceDN/>
        <w:bidi w:val="0"/>
        <w:adjustRightInd w:val="0"/>
        <w:snapToGrid w:val="0"/>
        <w:spacing w:line="360" w:lineRule="auto"/>
        <w:ind w:firstLine="1020" w:firstLineChars="4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bookmarkStart w:id="16" w:name="OLE_LINK7"/>
      <w:r>
        <w:rPr>
          <w:rFonts w:hint="eastAsia" w:asciiTheme="minorEastAsia" w:hAnsiTheme="minorEastAsia" w:eastAsiaTheme="minorEastAsia" w:cstheme="minorEastAsia"/>
          <w:color w:val="auto"/>
          <w:sz w:val="24"/>
          <w:szCs w:val="24"/>
        </w:rPr>
        <w:t>安阳市安钢大道39号（人民大道北地下道口南侧、安阳粮食产业集团-后</w:t>
      </w:r>
    </w:p>
    <w:p w14:paraId="229038BC">
      <w:pPr>
        <w:keepNext w:val="0"/>
        <w:keepLines w:val="0"/>
        <w:pageBreakBefore w:val="0"/>
        <w:widowControl w:val="0"/>
        <w:kinsoku/>
        <w:wordWrap/>
        <w:overflowPunct/>
        <w:topLinePunct w:val="0"/>
        <w:autoSpaceDE/>
        <w:autoSpaceDN/>
        <w:bidi w:val="0"/>
        <w:adjustRightInd w:val="0"/>
        <w:snapToGrid w:val="0"/>
        <w:spacing w:line="360" w:lineRule="auto"/>
        <w:ind w:firstLine="1740" w:firstLineChars="7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院办公楼五楼）</w:t>
      </w:r>
      <w:bookmarkEnd w:id="16"/>
    </w:p>
    <w:p w14:paraId="5056973F">
      <w:pPr>
        <w:keepNext w:val="0"/>
        <w:keepLines w:val="0"/>
        <w:pageBreakBefore w:val="0"/>
        <w:widowControl w:val="0"/>
        <w:kinsoku/>
        <w:wordWrap/>
        <w:overflowPunct/>
        <w:topLinePunct w:val="0"/>
        <w:autoSpaceDE/>
        <w:autoSpaceDN/>
        <w:bidi w:val="0"/>
        <w:adjustRightInd w:val="0"/>
        <w:snapToGrid w:val="0"/>
        <w:spacing w:line="360" w:lineRule="auto"/>
        <w:ind w:firstLine="1020" w:firstLineChars="4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联系人：彭亚松</w:t>
      </w:r>
    </w:p>
    <w:p w14:paraId="695EDE26">
      <w:pPr>
        <w:keepNext w:val="0"/>
        <w:keepLines w:val="0"/>
        <w:pageBreakBefore w:val="0"/>
        <w:widowControl w:val="0"/>
        <w:kinsoku/>
        <w:wordWrap/>
        <w:overflowPunct/>
        <w:topLinePunct w:val="0"/>
        <w:autoSpaceDE/>
        <w:autoSpaceDN/>
        <w:bidi w:val="0"/>
        <w:adjustRightInd w:val="0"/>
        <w:snapToGrid w:val="0"/>
        <w:spacing w:line="360" w:lineRule="auto"/>
        <w:ind w:firstLine="1020" w:firstLineChars="4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w:t>
      </w:r>
      <w:bookmarkStart w:id="17" w:name="OLE_LINK5"/>
      <w:bookmarkStart w:id="18" w:name="_Toc28359010"/>
      <w:bookmarkStart w:id="19" w:name="_Toc28359087"/>
      <w:r>
        <w:rPr>
          <w:rFonts w:hint="eastAsia" w:asciiTheme="minorEastAsia" w:hAnsiTheme="minorEastAsia" w:eastAsiaTheme="minorEastAsia" w:cstheme="minorEastAsia"/>
          <w:color w:val="auto"/>
          <w:sz w:val="24"/>
          <w:szCs w:val="24"/>
        </w:rPr>
        <w:t>0372-2283981、2283982</w:t>
      </w:r>
      <w:bookmarkEnd w:id="17"/>
      <w:r>
        <w:rPr>
          <w:rFonts w:hint="eastAsia" w:asciiTheme="minorEastAsia" w:hAnsiTheme="minorEastAsia" w:eastAsiaTheme="minorEastAsia" w:cstheme="minorEastAsia"/>
          <w:color w:val="auto"/>
          <w:sz w:val="24"/>
          <w:szCs w:val="24"/>
        </w:rPr>
        <w:t xml:space="preserve">   财务部咨询电话：0372-2283983　</w:t>
      </w:r>
    </w:p>
    <w:p w14:paraId="708BE38A">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8.3</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项目联系方式</w:t>
      </w:r>
      <w:bookmarkEnd w:id="18"/>
      <w:bookmarkEnd w:id="19"/>
      <w:r>
        <w:rPr>
          <w:rFonts w:hint="eastAsia" w:asciiTheme="minorEastAsia" w:hAnsiTheme="minorEastAsia" w:eastAsiaTheme="minorEastAsia" w:cstheme="minorEastAsia"/>
          <w:color w:val="auto"/>
          <w:sz w:val="24"/>
          <w:szCs w:val="24"/>
          <w:lang w:eastAsia="zh-CN"/>
        </w:rPr>
        <w:t>：</w:t>
      </w:r>
    </w:p>
    <w:p w14:paraId="0F3DF20D">
      <w:pPr>
        <w:keepNext w:val="0"/>
        <w:keepLines w:val="0"/>
        <w:pageBreakBefore w:val="0"/>
        <w:widowControl w:val="0"/>
        <w:kinsoku/>
        <w:wordWrap/>
        <w:overflowPunct/>
        <w:topLinePunct w:val="0"/>
        <w:autoSpaceDE/>
        <w:autoSpaceDN/>
        <w:bidi w:val="0"/>
        <w:adjustRightInd w:val="0"/>
        <w:snapToGrid w:val="0"/>
        <w:spacing w:line="360" w:lineRule="auto"/>
        <w:ind w:firstLine="1020" w:firstLineChars="4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项目联系人：彭亚松</w:t>
      </w:r>
    </w:p>
    <w:p w14:paraId="2F2F5F4D">
      <w:pPr>
        <w:keepNext w:val="0"/>
        <w:keepLines w:val="0"/>
        <w:pageBreakBefore w:val="0"/>
        <w:widowControl w:val="0"/>
        <w:kinsoku/>
        <w:wordWrap/>
        <w:overflowPunct/>
        <w:topLinePunct w:val="0"/>
        <w:autoSpaceDE/>
        <w:autoSpaceDN/>
        <w:bidi w:val="0"/>
        <w:adjustRightInd w:val="0"/>
        <w:snapToGrid w:val="0"/>
        <w:spacing w:line="360" w:lineRule="auto"/>
        <w:ind w:firstLine="1020" w:firstLineChars="4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联系方式：15670030799</w:t>
      </w:r>
    </w:p>
    <w:p w14:paraId="251502CB">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color w:val="00B050"/>
          <w:sz w:val="24"/>
          <w:szCs w:val="24"/>
        </w:rPr>
      </w:pPr>
    </w:p>
    <w:p w14:paraId="660865BF">
      <w:pPr>
        <w:widowControl w:val="0"/>
        <w:snapToGrid w:val="0"/>
        <w:spacing w:line="360" w:lineRule="auto"/>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 xml:space="preserve">9.网上电子交易提示： </w:t>
      </w:r>
    </w:p>
    <w:p w14:paraId="2F0ACD3C">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 注册：投标人完成注册、办理数字证书后，方可获取</w:t>
      </w:r>
      <w:r>
        <w:rPr>
          <w:rFonts w:hint="eastAsia" w:asciiTheme="minorEastAsia" w:hAnsiTheme="minorEastAsia" w:eastAsiaTheme="minorEastAsia" w:cstheme="minorEastAsia"/>
          <w:color w:val="auto"/>
          <w:sz w:val="24"/>
          <w:szCs w:val="24"/>
          <w:lang w:eastAsia="zh-CN"/>
        </w:rPr>
        <w:t>《谈判文件》</w:t>
      </w:r>
      <w:r>
        <w:rPr>
          <w:rFonts w:hint="eastAsia" w:asciiTheme="minorEastAsia" w:hAnsiTheme="minorEastAsia" w:eastAsiaTheme="minorEastAsia" w:cstheme="minorEastAsia"/>
          <w:color w:val="auto"/>
          <w:sz w:val="24"/>
          <w:szCs w:val="24"/>
        </w:rPr>
        <w:t>、参加投标等网上电子交易。</w:t>
      </w:r>
    </w:p>
    <w:p w14:paraId="27C4B0A8">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 获取</w:t>
      </w:r>
      <w:r>
        <w:rPr>
          <w:rFonts w:hint="eastAsia" w:asciiTheme="minorEastAsia" w:hAnsiTheme="minorEastAsia" w:eastAsiaTheme="minorEastAsia" w:cstheme="minorEastAsia"/>
          <w:color w:val="auto"/>
          <w:sz w:val="24"/>
          <w:szCs w:val="24"/>
          <w:lang w:eastAsia="zh-CN"/>
        </w:rPr>
        <w:t>《谈判文件》</w:t>
      </w:r>
      <w:r>
        <w:rPr>
          <w:rFonts w:hint="eastAsia" w:asciiTheme="minorEastAsia" w:hAnsiTheme="minorEastAsia" w:eastAsiaTheme="minorEastAsia" w:cstheme="minorEastAsia"/>
          <w:color w:val="auto"/>
          <w:sz w:val="24"/>
          <w:szCs w:val="24"/>
        </w:rPr>
        <w:t>：按本章第3条“获取</w:t>
      </w:r>
      <w:r>
        <w:rPr>
          <w:rFonts w:hint="eastAsia" w:asciiTheme="minorEastAsia" w:hAnsiTheme="minorEastAsia" w:eastAsiaTheme="minorEastAsia" w:cstheme="minorEastAsia"/>
          <w:color w:val="auto"/>
          <w:sz w:val="24"/>
          <w:szCs w:val="24"/>
          <w:lang w:eastAsia="zh-CN"/>
        </w:rPr>
        <w:t>《谈判文件》</w:t>
      </w:r>
      <w:r>
        <w:rPr>
          <w:rFonts w:hint="eastAsia" w:asciiTheme="minorEastAsia" w:hAnsiTheme="minorEastAsia" w:eastAsiaTheme="minorEastAsia" w:cstheme="minorEastAsia"/>
          <w:color w:val="auto"/>
          <w:sz w:val="24"/>
          <w:szCs w:val="24"/>
        </w:rPr>
        <w:t>”办理。</w:t>
      </w:r>
    </w:p>
    <w:p w14:paraId="09C178D4">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color w:val="auto"/>
          <w:sz w:val="24"/>
          <w:szCs w:val="24"/>
        </w:rPr>
        <w:t xml:space="preserve">9.3 </w:t>
      </w:r>
      <w:r>
        <w:rPr>
          <w:rFonts w:hint="eastAsia" w:asciiTheme="minorEastAsia" w:hAnsiTheme="minorEastAsia" w:eastAsiaTheme="minorEastAsia" w:cstheme="minorEastAsia"/>
          <w:color w:val="auto"/>
          <w:sz w:val="24"/>
          <w:szCs w:val="24"/>
          <w:lang w:eastAsia="zh-CN"/>
        </w:rPr>
        <w:t>《谈判文件》</w:t>
      </w:r>
      <w:r>
        <w:rPr>
          <w:rFonts w:hint="eastAsia" w:asciiTheme="minorEastAsia" w:hAnsiTheme="minorEastAsia" w:eastAsiaTheme="minorEastAsia" w:cstheme="minorEastAsia"/>
          <w:color w:val="auto"/>
          <w:sz w:val="24"/>
          <w:szCs w:val="24"/>
        </w:rPr>
        <w:t>的澄清与修改或延期的通知：按</w:t>
      </w:r>
      <w:r>
        <w:rPr>
          <w:rFonts w:hint="eastAsia" w:asciiTheme="minorEastAsia" w:hAnsiTheme="minorEastAsia" w:eastAsiaTheme="minorEastAsia" w:cstheme="minorEastAsia"/>
          <w:color w:val="auto"/>
          <w:sz w:val="24"/>
          <w:szCs w:val="24"/>
          <w:lang w:eastAsia="zh-CN"/>
        </w:rPr>
        <w:t>《谈判文件》</w:t>
      </w:r>
      <w:r>
        <w:rPr>
          <w:rFonts w:hint="eastAsia" w:asciiTheme="minorEastAsia" w:hAnsiTheme="minorEastAsia" w:eastAsiaTheme="minorEastAsia" w:cstheme="minorEastAsia"/>
          <w:color w:val="auto"/>
          <w:sz w:val="24"/>
          <w:szCs w:val="24"/>
        </w:rPr>
        <w:t xml:space="preserve">第三章“投标人须知”第2条“2.4 </w:t>
      </w:r>
      <w:r>
        <w:rPr>
          <w:rFonts w:hint="eastAsia" w:asciiTheme="minorEastAsia" w:hAnsiTheme="minorEastAsia" w:eastAsiaTheme="minorEastAsia" w:cstheme="minorEastAsia"/>
          <w:color w:val="auto"/>
          <w:sz w:val="24"/>
          <w:szCs w:val="24"/>
          <w:lang w:eastAsia="zh-CN"/>
        </w:rPr>
        <w:t>《谈判文件》</w:t>
      </w:r>
      <w:r>
        <w:rPr>
          <w:rFonts w:hint="eastAsia" w:asciiTheme="minorEastAsia" w:hAnsiTheme="minorEastAsia" w:eastAsiaTheme="minorEastAsia" w:cstheme="minorEastAsia"/>
          <w:color w:val="auto"/>
          <w:sz w:val="24"/>
          <w:szCs w:val="24"/>
        </w:rPr>
        <w:t>的澄清、修改、补充的通知，及相应时间变更”执行。</w:t>
      </w:r>
      <w:r>
        <w:rPr>
          <w:rFonts w:hint="eastAsia" w:asciiTheme="minorEastAsia" w:hAnsiTheme="minorEastAsia" w:eastAsiaTheme="minorEastAsia" w:cstheme="minorEastAsia"/>
          <w:b/>
          <w:bCs/>
          <w:color w:val="auto"/>
          <w:sz w:val="24"/>
          <w:szCs w:val="24"/>
          <w:lang w:val="zh-CN"/>
        </w:rPr>
        <w:t>不另行通知。</w:t>
      </w:r>
    </w:p>
    <w:p w14:paraId="30E4AC02">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9.4 </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编制：在殷都区公共资源交易中心网站下载并安装</w:t>
      </w:r>
      <w:r>
        <w:rPr>
          <w:rFonts w:hint="eastAsia" w:asciiTheme="minorEastAsia" w:hAnsiTheme="minorEastAsia" w:eastAsiaTheme="minorEastAsia" w:cstheme="minorEastAsia"/>
          <w:color w:val="auto"/>
          <w:sz w:val="24"/>
          <w:szCs w:val="24"/>
          <w:lang w:eastAsia="zh-CN"/>
        </w:rPr>
        <w:t>投标文件制作工具</w:t>
      </w:r>
      <w:r>
        <w:rPr>
          <w:rFonts w:hint="eastAsia" w:asciiTheme="minorEastAsia" w:hAnsiTheme="minorEastAsia" w:eastAsiaTheme="minorEastAsia" w:cstheme="minorEastAsia"/>
          <w:color w:val="auto"/>
          <w:sz w:val="24"/>
          <w:szCs w:val="24"/>
        </w:rPr>
        <w:t>、进行编制，按</w:t>
      </w:r>
      <w:r>
        <w:rPr>
          <w:rFonts w:hint="eastAsia" w:asciiTheme="minorEastAsia" w:hAnsiTheme="minorEastAsia" w:eastAsiaTheme="minorEastAsia" w:cstheme="minorEastAsia"/>
          <w:color w:val="auto"/>
          <w:sz w:val="24"/>
          <w:szCs w:val="24"/>
          <w:lang w:eastAsia="zh-CN"/>
        </w:rPr>
        <w:t>《谈判文件》</w:t>
      </w:r>
      <w:r>
        <w:rPr>
          <w:rFonts w:hint="eastAsia" w:asciiTheme="minorEastAsia" w:hAnsiTheme="minorEastAsia" w:eastAsiaTheme="minorEastAsia" w:cstheme="minorEastAsia"/>
          <w:color w:val="auto"/>
          <w:sz w:val="24"/>
          <w:szCs w:val="24"/>
        </w:rPr>
        <w:t>第三章“投标人须知”第3条第7款“3.7</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的编制”执行，</w:t>
      </w:r>
      <w:r>
        <w:rPr>
          <w:rFonts w:hint="eastAsia" w:asciiTheme="minorEastAsia" w:hAnsiTheme="minorEastAsia" w:eastAsiaTheme="minorEastAsia" w:cstheme="minorEastAsia"/>
          <w:b/>
          <w:bCs/>
          <w:color w:val="auto"/>
          <w:sz w:val="24"/>
          <w:szCs w:val="24"/>
          <w:lang w:val="zh-CN"/>
        </w:rPr>
        <w:t>否则将会评定为无效投标。</w:t>
      </w:r>
    </w:p>
    <w:p w14:paraId="02C54F25">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 xml:space="preserve">9.5 </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递交：投标人应在投标截止时间前上传加密的电子</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（*.aytf）到殷都区公共资源交易平台，按</w:t>
      </w:r>
      <w:r>
        <w:rPr>
          <w:rFonts w:hint="eastAsia" w:asciiTheme="minorEastAsia" w:hAnsiTheme="minorEastAsia" w:eastAsiaTheme="minorEastAsia" w:cstheme="minorEastAsia"/>
          <w:color w:val="auto"/>
          <w:sz w:val="24"/>
          <w:szCs w:val="24"/>
          <w:lang w:eastAsia="zh-CN"/>
        </w:rPr>
        <w:t>《谈判文件》</w:t>
      </w:r>
      <w:r>
        <w:rPr>
          <w:rFonts w:hint="eastAsia" w:asciiTheme="minorEastAsia" w:hAnsiTheme="minorEastAsia" w:eastAsiaTheme="minorEastAsia" w:cstheme="minorEastAsia"/>
          <w:color w:val="auto"/>
          <w:sz w:val="24"/>
          <w:szCs w:val="24"/>
        </w:rPr>
        <w:t>第三章“投标人须知”第4条“4.投标（</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的递交）”执行，</w:t>
      </w:r>
      <w:r>
        <w:rPr>
          <w:rFonts w:hint="eastAsia" w:asciiTheme="minorEastAsia" w:hAnsiTheme="minorEastAsia" w:eastAsiaTheme="minorEastAsia" w:cstheme="minorEastAsia"/>
          <w:b/>
          <w:bCs/>
          <w:color w:val="auto"/>
          <w:sz w:val="24"/>
          <w:szCs w:val="24"/>
          <w:lang w:val="zh-CN"/>
        </w:rPr>
        <w:t>否则将会评定为无效投标。</w:t>
      </w:r>
    </w:p>
    <w:p w14:paraId="2BA793CC">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9.6 </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解密：本项目采用远程不见面交易的模式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开标当日，投标人无需到开标现场参加开标会议，投标人应当在投标截止时间前，使用IE浏览器登录到安阳市公共资源交易不见面开标大厅，点击右上方【登录】按钮进入，在线准时参加开标活动并进行</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解密等。按</w:t>
      </w:r>
      <w:r>
        <w:rPr>
          <w:rFonts w:hint="eastAsia" w:asciiTheme="minorEastAsia" w:hAnsiTheme="minorEastAsia" w:eastAsiaTheme="minorEastAsia" w:cstheme="minorEastAsia"/>
          <w:color w:val="auto"/>
          <w:sz w:val="24"/>
          <w:szCs w:val="24"/>
          <w:lang w:eastAsia="zh-CN"/>
        </w:rPr>
        <w:t>《谈判文件》</w:t>
      </w:r>
      <w:r>
        <w:rPr>
          <w:rFonts w:hint="eastAsia" w:asciiTheme="minorEastAsia" w:hAnsiTheme="minorEastAsia" w:eastAsiaTheme="minorEastAsia" w:cstheme="minorEastAsia"/>
          <w:color w:val="auto"/>
          <w:sz w:val="24"/>
          <w:szCs w:val="24"/>
        </w:rPr>
        <w:t>第三章“投标人须知”第5条“5.开标（</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的开启）”执行，</w:t>
      </w:r>
      <w:r>
        <w:rPr>
          <w:rFonts w:hint="eastAsia" w:asciiTheme="minorEastAsia" w:hAnsiTheme="minorEastAsia" w:eastAsiaTheme="minorEastAsia" w:cstheme="minorEastAsia"/>
          <w:b/>
          <w:bCs/>
          <w:color w:val="auto"/>
          <w:sz w:val="24"/>
          <w:szCs w:val="24"/>
          <w:lang w:val="zh-CN"/>
        </w:rPr>
        <w:t>否则其投标将不能被接受。</w:t>
      </w:r>
    </w:p>
    <w:p w14:paraId="100C6C5A">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color w:val="auto"/>
          <w:sz w:val="24"/>
          <w:szCs w:val="24"/>
        </w:rPr>
        <w:t>9.7 谈判：时刻关注电子开标室并及时澄清，有效投标人在规定时间进行最后报价，按</w:t>
      </w:r>
      <w:r>
        <w:rPr>
          <w:rFonts w:hint="eastAsia" w:asciiTheme="minorEastAsia" w:hAnsiTheme="minorEastAsia" w:eastAsiaTheme="minorEastAsia" w:cstheme="minorEastAsia"/>
          <w:color w:val="auto"/>
          <w:sz w:val="24"/>
          <w:szCs w:val="24"/>
          <w:lang w:eastAsia="zh-CN"/>
        </w:rPr>
        <w:t>《谈判文件》</w:t>
      </w:r>
      <w:r>
        <w:rPr>
          <w:rFonts w:hint="eastAsia" w:asciiTheme="minorEastAsia" w:hAnsiTheme="minorEastAsia" w:eastAsiaTheme="minorEastAsia" w:cstheme="minorEastAsia"/>
          <w:color w:val="auto"/>
          <w:sz w:val="24"/>
          <w:szCs w:val="24"/>
        </w:rPr>
        <w:t>第四章“评审办法”执行，</w:t>
      </w:r>
      <w:r>
        <w:rPr>
          <w:rFonts w:hint="eastAsia" w:asciiTheme="minorEastAsia" w:hAnsiTheme="minorEastAsia" w:eastAsiaTheme="minorEastAsia" w:cstheme="minorEastAsia"/>
          <w:b/>
          <w:bCs/>
          <w:color w:val="auto"/>
          <w:sz w:val="24"/>
          <w:szCs w:val="24"/>
          <w:lang w:val="zh-CN"/>
        </w:rPr>
        <w:t>否则将会评定为无效投标。</w:t>
      </w:r>
    </w:p>
    <w:p w14:paraId="22114ACA">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9.8</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0FFEAF18">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①锁名称变更前建议先在交易系统修改单位名称为最新的，变更完成后再变更锁名称，以免因名称不一致无法正常登录系统。</w:t>
      </w:r>
    </w:p>
    <w:p w14:paraId="40558E9B">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②锁延期之后序列号可能会发生改变（视不同CA而定），变更后需要重新进行绑定。</w:t>
      </w:r>
    </w:p>
    <w:p w14:paraId="379E1209">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9.9</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政府采购电子交易中，投标人网上电子交易的系统操作规则应以安阳市公共资源交易平台即时发布的相关规则为准。</w:t>
      </w:r>
    </w:p>
    <w:p w14:paraId="209A7A62">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9.10 望投标人充分熟悉网上电子交易操作流程、以便有效投标。</w:t>
      </w:r>
    </w:p>
    <w:p w14:paraId="52BFDB3B">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9.11 如遇到网上系统操作等技术问题请咨询400-998-0000、0372-3387739。</w:t>
      </w:r>
    </w:p>
    <w:p w14:paraId="1F49F93C">
      <w:pPr>
        <w:widowControl w:val="0"/>
        <w:tabs>
          <w:tab w:val="left" w:pos="39"/>
          <w:tab w:val="left" w:pos="96"/>
        </w:tabs>
        <w:snapToGrid w:val="0"/>
        <w:spacing w:line="360" w:lineRule="auto"/>
        <w:ind w:firstLine="540" w:firstLineChars="225"/>
        <w:rPr>
          <w:rFonts w:ascii="宋体"/>
          <w:color w:val="auto"/>
          <w:sz w:val="24"/>
          <w:szCs w:val="24"/>
        </w:rPr>
      </w:pPr>
    </w:p>
    <w:p w14:paraId="604FEF3F">
      <w:pPr>
        <w:widowControl w:val="0"/>
        <w:tabs>
          <w:tab w:val="left" w:pos="39"/>
          <w:tab w:val="left" w:pos="96"/>
        </w:tabs>
        <w:snapToGrid w:val="0"/>
        <w:spacing w:line="360" w:lineRule="auto"/>
        <w:ind w:firstLine="5220" w:firstLineChars="2175"/>
        <w:jc w:val="right"/>
        <w:rPr>
          <w:rFonts w:ascii="宋体"/>
          <w:color w:val="auto"/>
          <w:sz w:val="24"/>
          <w:szCs w:val="24"/>
        </w:rPr>
      </w:pPr>
      <w:r>
        <w:rPr>
          <w:rFonts w:hint="eastAsia" w:ascii="宋体"/>
          <w:color w:val="auto"/>
          <w:sz w:val="24"/>
          <w:szCs w:val="24"/>
        </w:rPr>
        <w:t>安阳市方正招标采购服务有限责任公司</w:t>
      </w:r>
    </w:p>
    <w:p w14:paraId="049B03A4">
      <w:pPr>
        <w:widowControl w:val="0"/>
        <w:tabs>
          <w:tab w:val="left" w:pos="39"/>
          <w:tab w:val="left" w:pos="96"/>
        </w:tabs>
        <w:snapToGrid w:val="0"/>
        <w:spacing w:line="360" w:lineRule="auto"/>
        <w:ind w:firstLine="540" w:firstLineChars="225"/>
        <w:jc w:val="right"/>
        <w:rPr>
          <w:rFonts w:ascii="宋体"/>
          <w:color w:val="auto"/>
          <w:sz w:val="24"/>
          <w:szCs w:val="24"/>
        </w:rPr>
      </w:pPr>
      <w:r>
        <w:rPr>
          <w:rFonts w:hint="eastAsia" w:ascii="宋体"/>
          <w:color w:val="auto"/>
          <w:sz w:val="24"/>
          <w:szCs w:val="24"/>
        </w:rPr>
        <w:t>二〇二六年</w:t>
      </w:r>
      <w:r>
        <w:rPr>
          <w:rFonts w:hint="eastAsia" w:ascii="宋体"/>
          <w:color w:val="auto"/>
          <w:sz w:val="24"/>
          <w:szCs w:val="24"/>
          <w:lang w:val="en-US" w:eastAsia="zh-CN"/>
        </w:rPr>
        <w:t>四</w:t>
      </w:r>
      <w:r>
        <w:rPr>
          <w:rFonts w:hint="eastAsia" w:ascii="宋体"/>
          <w:color w:val="auto"/>
          <w:sz w:val="24"/>
          <w:szCs w:val="24"/>
        </w:rPr>
        <w:t>月</w:t>
      </w:r>
      <w:r>
        <w:rPr>
          <w:rFonts w:hint="eastAsia" w:ascii="宋体"/>
          <w:color w:val="auto"/>
          <w:sz w:val="24"/>
          <w:szCs w:val="24"/>
          <w:lang w:val="en-US" w:eastAsia="zh-CN"/>
        </w:rPr>
        <w:t>十三</w:t>
      </w:r>
      <w:r>
        <w:rPr>
          <w:rFonts w:hint="eastAsia" w:ascii="宋体"/>
          <w:color w:val="auto"/>
          <w:sz w:val="24"/>
          <w:szCs w:val="24"/>
        </w:rPr>
        <w:t>日</w:t>
      </w:r>
    </w:p>
    <w:p w14:paraId="5D5D62E5">
      <w:pPr>
        <w:keepNext w:val="0"/>
        <w:keepLines w:val="0"/>
        <w:pageBreakBefore w:val="0"/>
        <w:widowControl w:val="0"/>
        <w:kinsoku/>
        <w:wordWrap/>
        <w:overflowPunct/>
        <w:topLinePunct w:val="0"/>
        <w:autoSpaceDE/>
        <w:autoSpaceDN/>
        <w:bidi w:val="0"/>
        <w:adjustRightInd/>
        <w:snapToGrid w:val="0"/>
        <w:spacing w:line="276" w:lineRule="auto"/>
        <w:jc w:val="both"/>
        <w:textAlignment w:val="baseline"/>
        <w:rPr>
          <w:rFonts w:hint="eastAsia" w:eastAsia="方正黑体简体"/>
          <w:color w:val="auto"/>
          <w:sz w:val="28"/>
          <w:szCs w:val="28"/>
        </w:rPr>
      </w:pPr>
    </w:p>
    <w:p w14:paraId="0A67BC4F">
      <w:pPr>
        <w:keepNext w:val="0"/>
        <w:keepLines w:val="0"/>
        <w:pageBreakBefore w:val="0"/>
        <w:widowControl w:val="0"/>
        <w:kinsoku/>
        <w:wordWrap/>
        <w:overflowPunct/>
        <w:topLinePunct w:val="0"/>
        <w:autoSpaceDE/>
        <w:autoSpaceDN/>
        <w:bidi w:val="0"/>
        <w:adjustRightInd/>
        <w:snapToGrid w:val="0"/>
        <w:spacing w:line="276" w:lineRule="auto"/>
        <w:jc w:val="both"/>
        <w:textAlignment w:val="baseline"/>
        <w:rPr>
          <w:rFonts w:hint="eastAsia" w:eastAsia="方正黑体简体"/>
          <w:color w:val="auto"/>
          <w:sz w:val="28"/>
          <w:szCs w:val="28"/>
        </w:rPr>
      </w:pPr>
    </w:p>
    <w:p w14:paraId="571DB7E0">
      <w:pPr>
        <w:keepNext w:val="0"/>
        <w:keepLines w:val="0"/>
        <w:pageBreakBefore w:val="0"/>
        <w:widowControl w:val="0"/>
        <w:kinsoku/>
        <w:wordWrap/>
        <w:overflowPunct/>
        <w:topLinePunct w:val="0"/>
        <w:autoSpaceDE/>
        <w:autoSpaceDN/>
        <w:bidi w:val="0"/>
        <w:adjustRightInd/>
        <w:snapToGrid w:val="0"/>
        <w:spacing w:line="276" w:lineRule="auto"/>
        <w:jc w:val="both"/>
        <w:textAlignment w:val="baseline"/>
        <w:rPr>
          <w:rFonts w:hint="eastAsia" w:eastAsia="方正黑体简体"/>
          <w:color w:val="auto"/>
          <w:sz w:val="28"/>
          <w:szCs w:val="28"/>
        </w:rPr>
      </w:pPr>
    </w:p>
    <w:p w14:paraId="3EDB30B1">
      <w:pPr>
        <w:keepNext w:val="0"/>
        <w:keepLines w:val="0"/>
        <w:pageBreakBefore w:val="0"/>
        <w:widowControl w:val="0"/>
        <w:kinsoku/>
        <w:wordWrap/>
        <w:overflowPunct/>
        <w:topLinePunct w:val="0"/>
        <w:autoSpaceDE/>
        <w:autoSpaceDN/>
        <w:bidi w:val="0"/>
        <w:adjustRightInd/>
        <w:snapToGrid w:val="0"/>
        <w:spacing w:line="276" w:lineRule="auto"/>
        <w:jc w:val="both"/>
        <w:textAlignment w:val="baseline"/>
        <w:rPr>
          <w:rFonts w:hint="eastAsia" w:asciiTheme="minorEastAsia" w:hAnsiTheme="minorEastAsia" w:eastAsiaTheme="minorEastAsia" w:cstheme="minorEastAsia"/>
          <w:color w:val="auto"/>
          <w:sz w:val="24"/>
          <w:szCs w:val="24"/>
        </w:rPr>
      </w:pPr>
    </w:p>
    <w:p w14:paraId="57D3D354">
      <w:pPr>
        <w:keepNext w:val="0"/>
        <w:keepLines w:val="0"/>
        <w:pageBreakBefore w:val="0"/>
        <w:widowControl w:val="0"/>
        <w:kinsoku/>
        <w:wordWrap/>
        <w:overflowPunct/>
        <w:topLinePunct w:val="0"/>
        <w:autoSpaceDE/>
        <w:autoSpaceDN/>
        <w:bidi w:val="0"/>
        <w:adjustRightInd/>
        <w:snapToGrid w:val="0"/>
        <w:spacing w:line="276" w:lineRule="auto"/>
        <w:jc w:val="center"/>
        <w:textAlignment w:val="baseline"/>
        <w:rPr>
          <w:rFonts w:hint="eastAsia" w:asciiTheme="minorEastAsia" w:hAnsiTheme="minorEastAsia" w:eastAsiaTheme="minorEastAsia" w:cstheme="minorEastAsia"/>
          <w:color w:val="auto"/>
          <w:sz w:val="24"/>
          <w:szCs w:val="24"/>
        </w:rPr>
      </w:pPr>
    </w:p>
    <w:p w14:paraId="4099C782">
      <w:pPr>
        <w:widowControl w:val="0"/>
        <w:snapToGrid w:val="0"/>
        <w:spacing w:line="560" w:lineRule="exact"/>
        <w:jc w:val="center"/>
        <w:outlineLvl w:val="0"/>
        <w:rPr>
          <w:rFonts w:hint="eastAsia" w:ascii="Times New Roman" w:hAnsi="Times New Roman" w:eastAsia="黑体" w:cs="Times New Roman"/>
          <w:b/>
          <w:sz w:val="36"/>
          <w:szCs w:val="36"/>
        </w:rPr>
      </w:pPr>
      <w:bookmarkStart w:id="20" w:name="_Toc21060"/>
      <w:r>
        <w:rPr>
          <w:rFonts w:hint="eastAsia" w:ascii="Times New Roman" w:hAnsi="Times New Roman" w:eastAsia="黑体" w:cs="Times New Roman"/>
          <w:b/>
          <w:sz w:val="36"/>
          <w:szCs w:val="36"/>
        </w:rPr>
        <w:t xml:space="preserve">第二章 </w:t>
      </w:r>
      <w:r>
        <w:rPr>
          <w:rFonts w:hint="eastAsia" w:ascii="Times New Roman" w:hAnsi="Times New Roman" w:eastAsia="黑体" w:cs="Times New Roman"/>
          <w:b/>
          <w:sz w:val="36"/>
          <w:szCs w:val="36"/>
          <w:lang w:val="en-US" w:eastAsia="zh-CN"/>
        </w:rPr>
        <w:t xml:space="preserve"> </w:t>
      </w:r>
      <w:r>
        <w:rPr>
          <w:rFonts w:hint="eastAsia" w:ascii="Times New Roman" w:hAnsi="Times New Roman" w:eastAsia="黑体" w:cs="Times New Roman"/>
          <w:b/>
          <w:sz w:val="36"/>
          <w:szCs w:val="36"/>
        </w:rPr>
        <w:t>采购项目及服务要求</w:t>
      </w:r>
      <w:bookmarkEnd w:id="20"/>
    </w:p>
    <w:p w14:paraId="0ED4C2B9">
      <w:pPr>
        <w:keepNext w:val="0"/>
        <w:keepLines w:val="0"/>
        <w:pageBreakBefore w:val="0"/>
        <w:widowControl w:val="0"/>
        <w:kinsoku/>
        <w:wordWrap/>
        <w:overflowPunct/>
        <w:topLinePunct w:val="0"/>
        <w:autoSpaceDE/>
        <w:autoSpaceDN/>
        <w:bidi w:val="0"/>
        <w:adjustRightInd/>
        <w:snapToGrid w:val="0"/>
        <w:spacing w:line="276" w:lineRule="auto"/>
        <w:jc w:val="center"/>
        <w:textAlignment w:val="baseline"/>
        <w:rPr>
          <w:rFonts w:hint="eastAsia" w:asciiTheme="minorEastAsia" w:hAnsiTheme="minorEastAsia" w:eastAsiaTheme="minorEastAsia" w:cstheme="minorEastAsia"/>
          <w:b/>
          <w:color w:val="auto"/>
          <w:sz w:val="24"/>
          <w:szCs w:val="24"/>
        </w:rPr>
      </w:pPr>
    </w:p>
    <w:p w14:paraId="73C6A0C3">
      <w:pPr>
        <w:widowControl w:val="0"/>
        <w:snapToGrid w:val="0"/>
        <w:spacing w:line="360" w:lineRule="auto"/>
        <w:ind w:firstLine="422" w:firstLineChars="150"/>
        <w:jc w:val="left"/>
        <w:outlineLvl w:val="1"/>
        <w:rPr>
          <w:rFonts w:ascii="黑体" w:hAnsi="黑体" w:eastAsia="黑体"/>
          <w:b/>
          <w:color w:val="auto"/>
          <w:sz w:val="28"/>
        </w:rPr>
      </w:pPr>
      <w:bookmarkStart w:id="21" w:name="_Toc29354"/>
      <w:r>
        <w:rPr>
          <w:rFonts w:ascii="黑体" w:hAnsi="黑体" w:eastAsia="黑体"/>
          <w:b/>
          <w:color w:val="auto"/>
          <w:sz w:val="28"/>
        </w:rPr>
        <w:t xml:space="preserve">1. </w:t>
      </w:r>
      <w:r>
        <w:rPr>
          <w:rFonts w:hint="eastAsia" w:ascii="黑体" w:hAnsi="黑体" w:eastAsia="黑体"/>
          <w:b/>
          <w:color w:val="auto"/>
          <w:sz w:val="28"/>
        </w:rPr>
        <w:t>采购项目、标段（包）划分、投标报价</w:t>
      </w:r>
      <w:bookmarkEnd w:id="21"/>
    </w:p>
    <w:p w14:paraId="78F327CA">
      <w:pPr>
        <w:widowControl w:val="0"/>
        <w:snapToGrid w:val="0"/>
        <w:spacing w:line="360" w:lineRule="auto"/>
        <w:ind w:firstLine="482" w:firstLineChars="200"/>
        <w:jc w:val="left"/>
        <w:rPr>
          <w:color w:val="auto"/>
          <w:sz w:val="24"/>
          <w:szCs w:val="24"/>
        </w:rPr>
      </w:pPr>
      <w:r>
        <w:rPr>
          <w:rFonts w:ascii="黑体" w:hAnsi="黑体" w:eastAsia="黑体"/>
          <w:b/>
          <w:sz w:val="24"/>
          <w:szCs w:val="24"/>
        </w:rPr>
        <w:t>1.1</w:t>
      </w:r>
      <w:r>
        <w:rPr>
          <w:rFonts w:hint="eastAsia" w:ascii="黑体" w:hAnsi="黑体" w:eastAsia="黑体"/>
          <w:b/>
          <w:sz w:val="24"/>
          <w:szCs w:val="24"/>
          <w:lang w:val="en-US" w:eastAsia="zh-CN"/>
        </w:rPr>
        <w:t xml:space="preserve"> </w:t>
      </w:r>
      <w:r>
        <w:rPr>
          <w:rFonts w:hint="eastAsia" w:ascii="黑体" w:hAnsi="黑体" w:eastAsia="黑体"/>
          <w:b/>
          <w:sz w:val="24"/>
          <w:szCs w:val="24"/>
        </w:rPr>
        <w:t>采购项目名</w:t>
      </w:r>
      <w:r>
        <w:rPr>
          <w:rFonts w:hint="eastAsia" w:ascii="黑体" w:hAnsi="黑体" w:eastAsia="黑体"/>
          <w:b/>
          <w:color w:val="auto"/>
          <w:sz w:val="24"/>
          <w:szCs w:val="24"/>
        </w:rPr>
        <w:t>称</w:t>
      </w:r>
      <w:r>
        <w:rPr>
          <w:rFonts w:hint="eastAsia"/>
          <w:color w:val="auto"/>
          <w:sz w:val="24"/>
          <w:szCs w:val="24"/>
        </w:rPr>
        <w:t>：</w:t>
      </w:r>
      <w:r>
        <w:rPr>
          <w:rFonts w:hint="eastAsia" w:asciiTheme="minorEastAsia" w:hAnsiTheme="minorEastAsia" w:eastAsiaTheme="minorEastAsia" w:cstheme="minorEastAsia"/>
          <w:color w:val="auto"/>
          <w:sz w:val="24"/>
          <w:szCs w:val="24"/>
        </w:rPr>
        <w:t>安阳市殷都区农业农村局2026年小麦“一喷三防”项目</w:t>
      </w:r>
    </w:p>
    <w:p w14:paraId="3E6029D0">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标段（包）划分及其服务期</w:t>
      </w:r>
      <w:r>
        <w:rPr>
          <w:rFonts w:hint="eastAsia" w:ascii="黑体" w:hAnsi="黑体" w:eastAsia="黑体"/>
          <w:b/>
          <w:color w:val="auto"/>
          <w:sz w:val="24"/>
          <w:szCs w:val="24"/>
          <w:lang w:eastAsia="zh-CN"/>
        </w:rPr>
        <w:t>、</w:t>
      </w:r>
      <w:r>
        <w:rPr>
          <w:rFonts w:hint="eastAsia" w:ascii="黑体" w:hAnsi="黑体" w:eastAsia="黑体"/>
          <w:b/>
          <w:color w:val="auto"/>
          <w:sz w:val="24"/>
          <w:szCs w:val="24"/>
        </w:rPr>
        <w:t>服务地点</w:t>
      </w:r>
      <w:r>
        <w:rPr>
          <w:rFonts w:hint="eastAsia"/>
          <w:color w:val="auto"/>
          <w:sz w:val="24"/>
          <w:szCs w:val="24"/>
        </w:rPr>
        <w:t>：</w:t>
      </w:r>
      <w:r>
        <w:rPr>
          <w:rFonts w:hint="eastAsia" w:asciiTheme="minorEastAsia" w:hAnsiTheme="minorEastAsia" w:eastAsiaTheme="minorEastAsia" w:cstheme="minorEastAsia"/>
          <w:color w:val="auto"/>
          <w:sz w:val="24"/>
          <w:szCs w:val="24"/>
        </w:rPr>
        <w:t>本次采购项目划分为</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个标段（包）</w:t>
      </w:r>
    </w:p>
    <w:tbl>
      <w:tblPr>
        <w:tblStyle w:val="16"/>
        <w:tblW w:w="9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2595"/>
        <w:gridCol w:w="2007"/>
        <w:gridCol w:w="1713"/>
        <w:gridCol w:w="1446"/>
      </w:tblGrid>
      <w:tr w14:paraId="1BCE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363" w:type="dxa"/>
            <w:gridSpan w:val="5"/>
            <w:vAlign w:val="center"/>
          </w:tcPr>
          <w:p w14:paraId="79530F7A">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标段（包）一览表</w:t>
            </w:r>
          </w:p>
        </w:tc>
      </w:tr>
      <w:tr w14:paraId="1A18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602" w:type="dxa"/>
            <w:vAlign w:val="center"/>
          </w:tcPr>
          <w:p w14:paraId="5E04D575">
            <w:pPr>
              <w:widowControl w:val="0"/>
              <w:snapToGrid w:val="0"/>
              <w:spacing w:line="240" w:lineRule="auto"/>
              <w:jc w:val="center"/>
              <w:rPr>
                <w:b/>
                <w:color w:val="auto"/>
                <w:sz w:val="24"/>
                <w:szCs w:val="24"/>
              </w:rPr>
            </w:pPr>
            <w:r>
              <w:rPr>
                <w:rFonts w:hint="eastAsia"/>
                <w:b/>
                <w:color w:val="auto"/>
                <w:sz w:val="24"/>
                <w:szCs w:val="24"/>
              </w:rPr>
              <w:t>项目名称</w:t>
            </w:r>
          </w:p>
        </w:tc>
        <w:tc>
          <w:tcPr>
            <w:tcW w:w="2595" w:type="dxa"/>
            <w:vAlign w:val="center"/>
          </w:tcPr>
          <w:p w14:paraId="221B52A1">
            <w:pPr>
              <w:widowControl w:val="0"/>
              <w:snapToGrid w:val="0"/>
              <w:spacing w:line="240" w:lineRule="auto"/>
              <w:jc w:val="center"/>
              <w:rPr>
                <w:b/>
                <w:color w:val="auto"/>
                <w:sz w:val="24"/>
                <w:szCs w:val="24"/>
              </w:rPr>
            </w:pPr>
            <w:r>
              <w:rPr>
                <w:rFonts w:hint="eastAsia"/>
                <w:b/>
                <w:color w:val="auto"/>
                <w:sz w:val="24"/>
                <w:szCs w:val="24"/>
              </w:rPr>
              <w:t>标段（包）名称</w:t>
            </w:r>
          </w:p>
        </w:tc>
        <w:tc>
          <w:tcPr>
            <w:tcW w:w="2007" w:type="dxa"/>
            <w:vAlign w:val="center"/>
          </w:tcPr>
          <w:p w14:paraId="1C0F5D66">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标段（包）内容（范围）</w:t>
            </w:r>
          </w:p>
        </w:tc>
        <w:tc>
          <w:tcPr>
            <w:tcW w:w="1713" w:type="dxa"/>
            <w:vAlign w:val="center"/>
          </w:tcPr>
          <w:p w14:paraId="122A40C1">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合同履行期限</w:t>
            </w:r>
          </w:p>
          <w:p w14:paraId="6F87249E">
            <w:pPr>
              <w:widowControl w:val="0"/>
              <w:snapToGrid w:val="0"/>
              <w:spacing w:line="240" w:lineRule="auto"/>
              <w:jc w:val="center"/>
              <w:rPr>
                <w:b/>
                <w:color w:val="auto"/>
                <w:sz w:val="24"/>
                <w:szCs w:val="24"/>
              </w:rPr>
            </w:pPr>
            <w:r>
              <w:rPr>
                <w:rFonts w:hint="eastAsia" w:ascii="宋体" w:hAnsi="宋体"/>
                <w:b/>
                <w:color w:val="auto"/>
                <w:sz w:val="24"/>
                <w:szCs w:val="24"/>
              </w:rPr>
              <w:t>（服务期）</w:t>
            </w:r>
          </w:p>
        </w:tc>
        <w:tc>
          <w:tcPr>
            <w:tcW w:w="1446" w:type="dxa"/>
            <w:vAlign w:val="center"/>
          </w:tcPr>
          <w:p w14:paraId="27587083">
            <w:pPr>
              <w:widowControl w:val="0"/>
              <w:snapToGrid w:val="0"/>
              <w:spacing w:line="240" w:lineRule="auto"/>
              <w:jc w:val="center"/>
              <w:rPr>
                <w:b/>
                <w:color w:val="auto"/>
                <w:sz w:val="24"/>
                <w:szCs w:val="24"/>
              </w:rPr>
            </w:pPr>
            <w:r>
              <w:rPr>
                <w:rFonts w:hint="eastAsia" w:ascii="宋体" w:hAnsi="宋体"/>
                <w:b/>
                <w:color w:val="auto"/>
                <w:sz w:val="24"/>
                <w:szCs w:val="24"/>
              </w:rPr>
              <w:t>服务地点</w:t>
            </w:r>
          </w:p>
        </w:tc>
      </w:tr>
      <w:tr w14:paraId="460F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602" w:type="dxa"/>
            <w:vMerge w:val="restart"/>
            <w:vAlign w:val="center"/>
          </w:tcPr>
          <w:p w14:paraId="3FF22A47">
            <w:pPr>
              <w:widowControl w:val="0"/>
              <w:adjustRightInd w:val="0"/>
              <w:snapToGrid w:val="0"/>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安阳市殷都区农业农村局2026年小麦“一喷三防”项目</w:t>
            </w:r>
          </w:p>
        </w:tc>
        <w:tc>
          <w:tcPr>
            <w:tcW w:w="2595" w:type="dxa"/>
            <w:vAlign w:val="center"/>
          </w:tcPr>
          <w:p w14:paraId="471DB939">
            <w:pPr>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安阳市殷都区农业农村局2026年小麦“一喷三防”项目</w:t>
            </w:r>
            <w:r>
              <w:rPr>
                <w:rFonts w:hint="eastAsia" w:asciiTheme="minorEastAsia" w:hAnsiTheme="minorEastAsia" w:eastAsiaTheme="minorEastAsia"/>
                <w:color w:val="auto"/>
                <w:sz w:val="24"/>
                <w:szCs w:val="24"/>
                <w:highlight w:val="none"/>
              </w:rPr>
              <w:t>（包1）</w:t>
            </w:r>
          </w:p>
        </w:tc>
        <w:tc>
          <w:tcPr>
            <w:tcW w:w="2007" w:type="dxa"/>
            <w:vMerge w:val="restart"/>
            <w:vAlign w:val="center"/>
          </w:tcPr>
          <w:p w14:paraId="59DCDBBF">
            <w:pPr>
              <w:widowControl w:val="0"/>
              <w:adjustRightInd w:val="0"/>
              <w:snapToGrid w:val="0"/>
              <w:spacing w:line="24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见“第二章第2条：标段（包）内容（范围）及服务要求”</w:t>
            </w:r>
          </w:p>
        </w:tc>
        <w:tc>
          <w:tcPr>
            <w:tcW w:w="1713" w:type="dxa"/>
            <w:vMerge w:val="restart"/>
            <w:vAlign w:val="center"/>
          </w:tcPr>
          <w:p w14:paraId="4F71E26D">
            <w:pPr>
              <w:widowControl w:val="0"/>
              <w:adjustRightInd w:val="0"/>
              <w:snapToGrid w:val="0"/>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见谈判公告1.6</w:t>
            </w:r>
          </w:p>
        </w:tc>
        <w:tc>
          <w:tcPr>
            <w:tcW w:w="1446" w:type="dxa"/>
            <w:vMerge w:val="restart"/>
            <w:vAlign w:val="center"/>
          </w:tcPr>
          <w:p w14:paraId="6B240252">
            <w:pPr>
              <w:widowControl w:val="0"/>
              <w:adjustRightInd w:val="0"/>
              <w:snapToGrid w:val="0"/>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采购人指定地点</w:t>
            </w:r>
          </w:p>
        </w:tc>
      </w:tr>
      <w:tr w14:paraId="3815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602" w:type="dxa"/>
            <w:vMerge w:val="continue"/>
            <w:vAlign w:val="center"/>
          </w:tcPr>
          <w:p w14:paraId="59120C2E">
            <w:pPr>
              <w:widowControl w:val="0"/>
              <w:adjustRightInd w:val="0"/>
              <w:snapToGrid w:val="0"/>
              <w:spacing w:line="240" w:lineRule="auto"/>
              <w:jc w:val="center"/>
            </w:pPr>
          </w:p>
        </w:tc>
        <w:tc>
          <w:tcPr>
            <w:tcW w:w="2595" w:type="dxa"/>
            <w:vAlign w:val="center"/>
          </w:tcPr>
          <w:p w14:paraId="7E29C869">
            <w:pPr>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安阳市殷都区农业农村局2026年小麦“一喷三防”项目</w:t>
            </w:r>
            <w:r>
              <w:rPr>
                <w:rFonts w:hint="eastAsia" w:asciiTheme="minorEastAsia" w:hAnsiTheme="minorEastAsia" w:eastAsiaTheme="minorEastAsia"/>
                <w:color w:val="auto"/>
                <w:sz w:val="24"/>
                <w:szCs w:val="24"/>
                <w:highlight w:val="none"/>
              </w:rPr>
              <w:t>（包2）</w:t>
            </w:r>
          </w:p>
        </w:tc>
        <w:tc>
          <w:tcPr>
            <w:tcW w:w="2007" w:type="dxa"/>
            <w:vMerge w:val="continue"/>
            <w:vAlign w:val="center"/>
          </w:tcPr>
          <w:p w14:paraId="10AFA4FB">
            <w:pPr>
              <w:widowControl w:val="0"/>
              <w:adjustRightInd w:val="0"/>
              <w:snapToGrid w:val="0"/>
              <w:spacing w:line="240" w:lineRule="auto"/>
              <w:jc w:val="center"/>
              <w:rPr>
                <w:rFonts w:hint="eastAsia" w:asciiTheme="minorEastAsia" w:hAnsiTheme="minorEastAsia" w:eastAsiaTheme="minorEastAsia" w:cstheme="minorEastAsia"/>
                <w:color w:val="auto"/>
                <w:sz w:val="24"/>
                <w:szCs w:val="24"/>
              </w:rPr>
            </w:pPr>
          </w:p>
        </w:tc>
        <w:tc>
          <w:tcPr>
            <w:tcW w:w="1713" w:type="dxa"/>
            <w:vMerge w:val="continue"/>
            <w:vAlign w:val="center"/>
          </w:tcPr>
          <w:p w14:paraId="348CA245">
            <w:pPr>
              <w:widowControl w:val="0"/>
              <w:adjustRightInd w:val="0"/>
              <w:snapToGrid w:val="0"/>
              <w:spacing w:line="240" w:lineRule="auto"/>
              <w:jc w:val="center"/>
              <w:rPr>
                <w:rFonts w:hint="eastAsia" w:asciiTheme="minorEastAsia" w:hAnsiTheme="minorEastAsia" w:eastAsiaTheme="minorEastAsia" w:cstheme="minorEastAsia"/>
                <w:color w:val="auto"/>
                <w:sz w:val="24"/>
                <w:szCs w:val="24"/>
              </w:rPr>
            </w:pPr>
          </w:p>
        </w:tc>
        <w:tc>
          <w:tcPr>
            <w:tcW w:w="1446" w:type="dxa"/>
            <w:vMerge w:val="continue"/>
            <w:vAlign w:val="center"/>
          </w:tcPr>
          <w:p w14:paraId="3B482FC0">
            <w:pPr>
              <w:widowControl w:val="0"/>
              <w:adjustRightInd w:val="0"/>
              <w:snapToGrid w:val="0"/>
              <w:spacing w:line="240" w:lineRule="auto"/>
              <w:jc w:val="center"/>
              <w:rPr>
                <w:rFonts w:hint="eastAsia" w:asciiTheme="minorEastAsia" w:hAnsiTheme="minorEastAsia" w:eastAsiaTheme="minorEastAsia" w:cstheme="minorEastAsia"/>
                <w:color w:val="auto"/>
                <w:sz w:val="24"/>
                <w:szCs w:val="24"/>
              </w:rPr>
            </w:pPr>
          </w:p>
        </w:tc>
      </w:tr>
    </w:tbl>
    <w:p w14:paraId="07956B59">
      <w:pPr>
        <w:spacing w:line="560" w:lineRule="exact"/>
        <w:ind w:firstLine="482" w:firstLineChars="200"/>
        <w:rPr>
          <w:rFonts w:ascii="宋体" w:hAnsi="宋体"/>
          <w:b/>
          <w:color w:val="auto"/>
          <w:sz w:val="24"/>
          <w:szCs w:val="24"/>
        </w:rPr>
      </w:pPr>
      <w:r>
        <w:rPr>
          <w:rFonts w:ascii="宋体" w:hAnsi="宋体"/>
          <w:b/>
          <w:color w:val="auto"/>
          <w:sz w:val="24"/>
          <w:szCs w:val="24"/>
        </w:rPr>
        <w:t xml:space="preserve">1.3 </w:t>
      </w:r>
      <w:r>
        <w:rPr>
          <w:rFonts w:hint="eastAsia" w:ascii="宋体" w:hAnsi="宋体"/>
          <w:b/>
          <w:color w:val="auto"/>
          <w:sz w:val="24"/>
          <w:szCs w:val="24"/>
        </w:rPr>
        <w:t>投标报价（价格构成）</w:t>
      </w:r>
    </w:p>
    <w:p w14:paraId="349C7C03">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color w:val="auto"/>
          <w:sz w:val="24"/>
          <w:szCs w:val="24"/>
        </w:rPr>
      </w:pPr>
      <w:r>
        <w:rPr>
          <w:rFonts w:ascii="宋体" w:hAnsi="宋体"/>
          <w:color w:val="auto"/>
          <w:sz w:val="24"/>
          <w:szCs w:val="24"/>
        </w:rPr>
        <w:t>1.3.1</w:t>
      </w:r>
      <w:r>
        <w:rPr>
          <w:rFonts w:hint="eastAsia" w:ascii="宋体" w:hAnsi="宋体"/>
          <w:color w:val="auto"/>
          <w:sz w:val="24"/>
          <w:szCs w:val="24"/>
          <w:lang w:val="en-US" w:eastAsia="zh-CN"/>
        </w:rPr>
        <w:t xml:space="preserve"> </w:t>
      </w:r>
      <w:r>
        <w:rPr>
          <w:rFonts w:hint="eastAsia"/>
          <w:color w:val="auto"/>
          <w:sz w:val="24"/>
          <w:szCs w:val="24"/>
        </w:rPr>
        <w:t>投标人应按标段（包）进行投标，各标段（包）的投标报价均应为达到服务要求下的</w:t>
      </w:r>
      <w:r>
        <w:rPr>
          <w:rFonts w:hint="eastAsia"/>
          <w:color w:val="auto"/>
          <w:sz w:val="24"/>
          <w:szCs w:val="24"/>
          <w:lang w:val="en-US" w:eastAsia="zh-CN"/>
        </w:rPr>
        <w:t>综合单价报价</w:t>
      </w:r>
      <w:r>
        <w:rPr>
          <w:rFonts w:hint="eastAsia"/>
          <w:color w:val="auto"/>
          <w:sz w:val="24"/>
          <w:szCs w:val="24"/>
        </w:rPr>
        <w:t>，包括</w:t>
      </w:r>
      <w:r>
        <w:rPr>
          <w:rFonts w:hint="eastAsia"/>
          <w:color w:val="auto"/>
          <w:sz w:val="24"/>
          <w:szCs w:val="24"/>
          <w:lang w:eastAsia="zh-CN"/>
        </w:rPr>
        <w:t>：</w:t>
      </w:r>
      <w:r>
        <w:rPr>
          <w:rFonts w:hint="eastAsia"/>
          <w:color w:val="auto"/>
          <w:sz w:val="24"/>
          <w:szCs w:val="24"/>
        </w:rPr>
        <w:t>人工费</w:t>
      </w:r>
      <w:r>
        <w:rPr>
          <w:rFonts w:hint="eastAsia"/>
          <w:color w:val="auto"/>
          <w:sz w:val="24"/>
          <w:szCs w:val="24"/>
          <w:lang w:eastAsia="zh-CN"/>
        </w:rPr>
        <w:t>、</w:t>
      </w:r>
      <w:r>
        <w:rPr>
          <w:rFonts w:hint="eastAsia"/>
          <w:color w:val="auto"/>
          <w:sz w:val="24"/>
          <w:szCs w:val="24"/>
        </w:rPr>
        <w:t>设备费、材料费、交通</w:t>
      </w:r>
      <w:r>
        <w:rPr>
          <w:rFonts w:hint="eastAsia"/>
          <w:color w:val="auto"/>
          <w:sz w:val="24"/>
          <w:szCs w:val="24"/>
          <w:lang w:val="en-US" w:eastAsia="zh-CN"/>
        </w:rPr>
        <w:t>运输</w:t>
      </w:r>
      <w:r>
        <w:rPr>
          <w:rFonts w:hint="eastAsia"/>
          <w:color w:val="auto"/>
          <w:sz w:val="24"/>
          <w:szCs w:val="24"/>
        </w:rPr>
        <w:t>费、</w:t>
      </w:r>
      <w:r>
        <w:rPr>
          <w:rFonts w:hint="eastAsia"/>
          <w:color w:val="auto"/>
          <w:sz w:val="24"/>
          <w:szCs w:val="24"/>
          <w:lang w:val="en-US" w:eastAsia="zh-CN"/>
        </w:rPr>
        <w:t>食宿费</w:t>
      </w:r>
      <w:r>
        <w:rPr>
          <w:rFonts w:hint="eastAsia"/>
          <w:color w:val="auto"/>
          <w:sz w:val="24"/>
          <w:szCs w:val="24"/>
          <w:lang w:eastAsia="zh-CN"/>
        </w:rPr>
        <w:t>、</w:t>
      </w:r>
      <w:r>
        <w:rPr>
          <w:rFonts w:hint="eastAsia"/>
          <w:color w:val="auto"/>
          <w:sz w:val="24"/>
          <w:szCs w:val="24"/>
          <w:lang w:val="en-US" w:eastAsia="zh-CN"/>
        </w:rPr>
        <w:t>技术服务费、</w:t>
      </w:r>
      <w:r>
        <w:rPr>
          <w:rFonts w:hint="eastAsia"/>
          <w:color w:val="auto"/>
          <w:sz w:val="24"/>
          <w:szCs w:val="24"/>
        </w:rPr>
        <w:t>相关税费、知识产权（如有）、保险（如需）费等与采购项目（标段（包））相关的、必须的款项及费用（包括未列明而</w:t>
      </w:r>
      <w:r>
        <w:rPr>
          <w:rFonts w:hint="eastAsia"/>
          <w:color w:val="auto"/>
          <w:sz w:val="24"/>
          <w:szCs w:val="24"/>
          <w:lang w:val="en-US" w:eastAsia="zh-CN"/>
        </w:rPr>
        <w:t>为</w:t>
      </w:r>
      <w:r>
        <w:rPr>
          <w:rFonts w:hint="eastAsia"/>
          <w:color w:val="auto"/>
          <w:sz w:val="24"/>
          <w:szCs w:val="24"/>
        </w:rPr>
        <w:t>完成交验所必须的所有费用、材料、工具、设施）。</w:t>
      </w:r>
      <w:r>
        <w:rPr>
          <w:rFonts w:hint="eastAsia" w:ascii="宋体" w:hAnsi="宋体"/>
          <w:color w:val="auto"/>
          <w:sz w:val="24"/>
          <w:szCs w:val="24"/>
        </w:rPr>
        <w:t>成交价格在成交合同范围内固定不变。</w:t>
      </w:r>
    </w:p>
    <w:p w14:paraId="757B8E8F">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b/>
          <w:bCs/>
          <w:color w:val="auto"/>
          <w:sz w:val="24"/>
          <w:szCs w:val="24"/>
          <w:lang w:val="en-US" w:eastAsia="zh-CN"/>
        </w:rPr>
        <w:t>注：</w:t>
      </w:r>
      <w:r>
        <w:rPr>
          <w:rFonts w:hint="eastAsia" w:asciiTheme="minorEastAsia" w:hAnsiTheme="minorEastAsia" w:eastAsiaTheme="minorEastAsia" w:cstheme="minorEastAsia"/>
          <w:b/>
          <w:bCs/>
          <w:color w:val="auto"/>
          <w:sz w:val="24"/>
          <w:szCs w:val="24"/>
          <w:lang w:eastAsia="zh-CN"/>
        </w:rPr>
        <w:t>本项目</w:t>
      </w:r>
      <w:r>
        <w:rPr>
          <w:rFonts w:hint="eastAsia" w:asciiTheme="minorEastAsia" w:hAnsiTheme="minorEastAsia" w:eastAsiaTheme="minorEastAsia" w:cstheme="minorEastAsia"/>
          <w:b/>
          <w:bCs/>
          <w:color w:val="auto"/>
          <w:sz w:val="24"/>
          <w:szCs w:val="24"/>
          <w:lang w:val="en-US" w:eastAsia="zh-CN"/>
        </w:rPr>
        <w:t>按照综合单价进行投标报价，综合单价最高限价为：15元/亩，投标报价超过综合单价最高限价的为无效投标。本项目</w:t>
      </w:r>
      <w:r>
        <w:rPr>
          <w:rFonts w:hint="eastAsia" w:asciiTheme="minorEastAsia" w:hAnsiTheme="minorEastAsia" w:eastAsiaTheme="minorEastAsia" w:cstheme="minorEastAsia"/>
          <w:b/>
          <w:bCs/>
          <w:color w:val="auto"/>
          <w:sz w:val="24"/>
          <w:szCs w:val="24"/>
          <w:lang w:eastAsia="zh-CN"/>
        </w:rPr>
        <w:t>合同价款，按照合同履行期限内项目</w:t>
      </w:r>
      <w:r>
        <w:rPr>
          <w:rFonts w:hint="eastAsia" w:asciiTheme="minorEastAsia" w:hAnsiTheme="minorEastAsia" w:eastAsiaTheme="minorEastAsia" w:cstheme="minorEastAsia"/>
          <w:b/>
          <w:bCs/>
          <w:color w:val="auto"/>
          <w:sz w:val="24"/>
          <w:szCs w:val="24"/>
          <w:lang w:val="en-US" w:eastAsia="zh-CN"/>
        </w:rPr>
        <w:t>实际防治面积为准</w:t>
      </w:r>
      <w:r>
        <w:rPr>
          <w:rFonts w:hint="eastAsia" w:asciiTheme="minorEastAsia" w:hAnsiTheme="minorEastAsia" w:eastAsiaTheme="minorEastAsia" w:cstheme="minorEastAsia"/>
          <w:b/>
          <w:bCs/>
          <w:color w:val="auto"/>
          <w:sz w:val="24"/>
          <w:szCs w:val="24"/>
          <w:lang w:eastAsia="zh-CN"/>
        </w:rPr>
        <w:t>、据实结算，</w:t>
      </w:r>
      <w:r>
        <w:rPr>
          <w:rFonts w:hint="eastAsia" w:asciiTheme="minorEastAsia" w:hAnsiTheme="minorEastAsia" w:eastAsiaTheme="minorEastAsia" w:cstheme="minorEastAsia"/>
          <w:b/>
          <w:bCs/>
          <w:color w:val="auto"/>
          <w:sz w:val="24"/>
          <w:szCs w:val="24"/>
          <w:lang w:val="en-US" w:eastAsia="zh-CN"/>
        </w:rPr>
        <w:t>结算金额不超预算金额</w:t>
      </w:r>
      <w:r>
        <w:rPr>
          <w:rFonts w:hint="eastAsia" w:asciiTheme="minorEastAsia" w:hAnsiTheme="minorEastAsia" w:eastAsiaTheme="minorEastAsia" w:cstheme="minorEastAsia"/>
          <w:b/>
          <w:bCs/>
          <w:color w:val="auto"/>
          <w:sz w:val="24"/>
          <w:szCs w:val="24"/>
          <w:lang w:eastAsia="zh-CN"/>
        </w:rPr>
        <w:t>。</w:t>
      </w:r>
    </w:p>
    <w:p w14:paraId="2902190C">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ascii="宋体" w:hAnsi="宋体" w:eastAsia="宋体" w:cs="Times New Roman"/>
          <w:color w:val="auto"/>
          <w:sz w:val="24"/>
          <w:szCs w:val="24"/>
        </w:rPr>
      </w:pPr>
      <w:r>
        <w:rPr>
          <w:rFonts w:ascii="宋体" w:hAnsi="宋体"/>
          <w:color w:val="auto"/>
          <w:sz w:val="24"/>
          <w:szCs w:val="24"/>
        </w:rPr>
        <w:t>1.3.2</w:t>
      </w:r>
      <w:r>
        <w:rPr>
          <w:rFonts w:hint="eastAsia" w:ascii="宋体" w:hAnsi="宋体"/>
          <w:color w:val="auto"/>
          <w:sz w:val="24"/>
          <w:szCs w:val="24"/>
          <w:lang w:val="en-US" w:eastAsia="zh-CN"/>
        </w:rPr>
        <w:t xml:space="preserve"> </w:t>
      </w:r>
      <w:r>
        <w:rPr>
          <w:rFonts w:hint="eastAsia" w:ascii="宋体" w:hAnsi="宋体"/>
          <w:color w:val="auto"/>
          <w:sz w:val="24"/>
          <w:szCs w:val="24"/>
        </w:rPr>
        <w:t>本次竞争性谈判共二次报价（含系统中开标一览表报价共二次价格谈判）。谈判小组未对</w:t>
      </w:r>
      <w:r>
        <w:rPr>
          <w:rFonts w:hint="eastAsia" w:ascii="宋体" w:hAnsi="宋体"/>
          <w:color w:val="auto"/>
          <w:sz w:val="24"/>
          <w:szCs w:val="24"/>
          <w:lang w:eastAsia="zh-CN"/>
        </w:rPr>
        <w:t>《谈判文件》</w:t>
      </w:r>
      <w:r>
        <w:rPr>
          <w:rFonts w:hint="eastAsia" w:ascii="宋体" w:hAnsi="宋体"/>
          <w:color w:val="auto"/>
          <w:sz w:val="24"/>
          <w:szCs w:val="24"/>
        </w:rPr>
        <w:t>作优化变更增加的，谈判中的报价均不应超过前次报价，投标人擅自调高报价的，谈判小组将按二次报价中的最低报价作为有效报价。投标人拒绝接受上述意见的，谈判小组将视为变相在提交</w:t>
      </w:r>
      <w:r>
        <w:rPr>
          <w:rFonts w:hint="eastAsia" w:ascii="宋体" w:hAnsi="宋体"/>
          <w:color w:val="auto"/>
          <w:sz w:val="24"/>
          <w:szCs w:val="24"/>
          <w:lang w:eastAsia="zh-CN"/>
        </w:rPr>
        <w:t>《响应文件》</w:t>
      </w:r>
      <w:r>
        <w:rPr>
          <w:rFonts w:hint="eastAsia" w:ascii="宋体" w:hAnsi="宋体"/>
          <w:color w:val="auto"/>
          <w:sz w:val="24"/>
          <w:szCs w:val="24"/>
        </w:rPr>
        <w:t>截止时间后撤回</w:t>
      </w:r>
      <w:r>
        <w:rPr>
          <w:rFonts w:hint="eastAsia" w:ascii="宋体" w:hAnsi="宋体"/>
          <w:color w:val="auto"/>
          <w:sz w:val="24"/>
          <w:szCs w:val="24"/>
          <w:lang w:eastAsia="zh-CN"/>
        </w:rPr>
        <w:t>《响应文件》</w:t>
      </w:r>
      <w:r>
        <w:rPr>
          <w:rFonts w:hint="eastAsia" w:ascii="宋体" w:hAnsi="宋体"/>
          <w:color w:val="auto"/>
          <w:sz w:val="24"/>
          <w:szCs w:val="24"/>
        </w:rPr>
        <w:t>，并评定其为无效投标。依据</w:t>
      </w:r>
      <w:r>
        <w:rPr>
          <w:rFonts w:hint="eastAsia" w:ascii="宋体" w:hAnsi="宋体"/>
          <w:color w:val="auto"/>
          <w:sz w:val="24"/>
          <w:szCs w:val="24"/>
          <w:lang w:eastAsia="zh-CN"/>
        </w:rPr>
        <w:t>《谈判文件》</w:t>
      </w:r>
      <w:r>
        <w:rPr>
          <w:rFonts w:hint="eastAsia" w:ascii="宋体" w:hAnsi="宋体"/>
          <w:color w:val="auto"/>
          <w:sz w:val="24"/>
          <w:szCs w:val="24"/>
        </w:rPr>
        <w:t>“第三章</w:t>
      </w:r>
      <w:r>
        <w:rPr>
          <w:rFonts w:hint="eastAsia" w:ascii="宋体" w:hAnsi="宋体"/>
          <w:color w:val="auto"/>
          <w:sz w:val="24"/>
          <w:szCs w:val="24"/>
          <w:lang w:val="en-US" w:eastAsia="zh-CN"/>
        </w:rPr>
        <w:t xml:space="preserve"> </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eastAsia="宋体" w:cs="Times New Roman"/>
          <w:color w:val="auto"/>
          <w:sz w:val="24"/>
          <w:szCs w:val="24"/>
        </w:rPr>
        <w:t>承担相应法律责任及违约责任。</w:t>
      </w:r>
    </w:p>
    <w:p w14:paraId="71092773">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ascii="宋体" w:hAnsi="宋体" w:eastAsia="宋体" w:cs="Times New Roman"/>
          <w:color w:val="auto"/>
          <w:sz w:val="24"/>
          <w:szCs w:val="24"/>
        </w:rPr>
      </w:pPr>
      <w:r>
        <w:rPr>
          <w:rFonts w:hint="eastAsia" w:ascii="宋体" w:hAnsi="宋体" w:eastAsia="宋体" w:cs="Times New Roman"/>
          <w:color w:val="auto"/>
          <w:sz w:val="24"/>
          <w:szCs w:val="24"/>
        </w:rPr>
        <w:t>价</w:t>
      </w:r>
      <w:r>
        <w:rPr>
          <w:rFonts w:ascii="宋体" w:hAnsi="宋体" w:eastAsia="宋体" w:cs="Times New Roman"/>
          <w:color w:val="auto"/>
          <w:sz w:val="24"/>
          <w:szCs w:val="24"/>
        </w:rPr>
        <w:t>格谈</w:t>
      </w:r>
      <w:r>
        <w:rPr>
          <w:rFonts w:hint="eastAsia" w:ascii="宋体" w:hAnsi="宋体" w:eastAsia="宋体" w:cs="Times New Roman"/>
          <w:color w:val="auto"/>
          <w:sz w:val="24"/>
          <w:szCs w:val="24"/>
        </w:rPr>
        <w:t>判</w:t>
      </w:r>
      <w:r>
        <w:rPr>
          <w:rFonts w:ascii="宋体" w:hAnsi="宋体" w:eastAsia="宋体" w:cs="Times New Roman"/>
          <w:color w:val="auto"/>
          <w:sz w:val="24"/>
          <w:szCs w:val="24"/>
        </w:rPr>
        <w:t>规</w:t>
      </w:r>
      <w:r>
        <w:rPr>
          <w:rFonts w:hint="eastAsia" w:ascii="宋体" w:hAnsi="宋体" w:eastAsia="宋体" w:cs="Times New Roman"/>
          <w:color w:val="auto"/>
          <w:sz w:val="24"/>
          <w:szCs w:val="24"/>
        </w:rPr>
        <w:t>则</w:t>
      </w:r>
      <w:r>
        <w:rPr>
          <w:rFonts w:ascii="宋体" w:hAnsi="宋体" w:eastAsia="宋体" w:cs="Times New Roman"/>
          <w:color w:val="auto"/>
          <w:sz w:val="24"/>
          <w:szCs w:val="24"/>
        </w:rPr>
        <w:t>详见第四章</w:t>
      </w:r>
      <w:r>
        <w:rPr>
          <w:rFonts w:hint="eastAsia" w:ascii="宋体" w:hAnsi="宋体" w:eastAsia="宋体" w:cs="Times New Roman"/>
          <w:color w:val="auto"/>
          <w:sz w:val="24"/>
          <w:szCs w:val="24"/>
        </w:rPr>
        <w:t>“评审办法”</w:t>
      </w:r>
      <w:r>
        <w:rPr>
          <w:rFonts w:ascii="宋体" w:hAnsi="宋体" w:eastAsia="宋体" w:cs="Times New Roman"/>
          <w:color w:val="auto"/>
          <w:sz w:val="24"/>
          <w:szCs w:val="24"/>
        </w:rPr>
        <w:t>第</w:t>
      </w:r>
      <w:r>
        <w:rPr>
          <w:rFonts w:hint="eastAsia" w:ascii="宋体" w:hAnsi="宋体" w:eastAsia="宋体" w:cs="Times New Roman"/>
          <w:color w:val="auto"/>
          <w:sz w:val="24"/>
          <w:szCs w:val="24"/>
        </w:rPr>
        <w:t>“</w:t>
      </w:r>
      <w:r>
        <w:rPr>
          <w:rFonts w:ascii="宋体" w:hAnsi="宋体" w:eastAsia="宋体" w:cs="Times New Roman"/>
          <w:color w:val="auto"/>
          <w:sz w:val="24"/>
          <w:szCs w:val="24"/>
        </w:rPr>
        <w:t xml:space="preserve">3.5.7 </w:t>
      </w:r>
      <w:r>
        <w:rPr>
          <w:rFonts w:hint="eastAsia" w:ascii="宋体" w:hAnsi="宋体" w:eastAsia="宋体" w:cs="Times New Roman"/>
          <w:color w:val="auto"/>
          <w:sz w:val="24"/>
          <w:szCs w:val="24"/>
        </w:rPr>
        <w:t>价格谈判”</w:t>
      </w:r>
      <w:r>
        <w:rPr>
          <w:rFonts w:ascii="宋体" w:hAnsi="宋体" w:eastAsia="宋体" w:cs="Times New Roman"/>
          <w:color w:val="auto"/>
          <w:sz w:val="24"/>
          <w:szCs w:val="24"/>
        </w:rPr>
        <w:t>条款</w:t>
      </w:r>
      <w:r>
        <w:rPr>
          <w:rFonts w:hint="eastAsia" w:ascii="宋体" w:hAnsi="宋体" w:eastAsia="宋体" w:cs="Times New Roman"/>
          <w:color w:val="auto"/>
          <w:sz w:val="24"/>
          <w:szCs w:val="24"/>
        </w:rPr>
        <w:t>。</w:t>
      </w:r>
    </w:p>
    <w:p w14:paraId="1AFFD95A">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ascii="宋体" w:hAnsi="宋体" w:eastAsia="宋体" w:cs="Times New Roman"/>
          <w:color w:val="auto"/>
          <w:sz w:val="24"/>
          <w:szCs w:val="24"/>
        </w:rPr>
      </w:pPr>
      <w:r>
        <w:rPr>
          <w:rFonts w:ascii="宋体" w:hAnsi="宋体" w:eastAsia="宋体" w:cs="Times New Roman"/>
          <w:color w:val="auto"/>
          <w:sz w:val="24"/>
          <w:szCs w:val="24"/>
        </w:rPr>
        <w:t xml:space="preserve">1.3.3 </w:t>
      </w:r>
      <w:r>
        <w:rPr>
          <w:rFonts w:hint="eastAsia" w:ascii="宋体" w:hAnsi="宋体" w:eastAsia="宋体" w:cs="Times New Roman"/>
          <w:color w:val="auto"/>
          <w:sz w:val="24"/>
          <w:szCs w:val="24"/>
        </w:rPr>
        <w:t>如投标人的投标报价未超过</w:t>
      </w:r>
      <w:r>
        <w:rPr>
          <w:rFonts w:hint="eastAsia" w:ascii="宋体" w:hAnsi="宋体" w:eastAsia="宋体" w:cs="Times New Roman"/>
          <w:color w:val="auto"/>
          <w:sz w:val="24"/>
          <w:szCs w:val="24"/>
          <w:lang w:val="en-US" w:eastAsia="zh-CN"/>
        </w:rPr>
        <w:t>综合单价最高限价</w:t>
      </w:r>
      <w:r>
        <w:rPr>
          <w:rFonts w:hint="eastAsia" w:ascii="宋体" w:hAnsi="宋体" w:eastAsia="宋体" w:cs="Times New Roman"/>
          <w:color w:val="auto"/>
          <w:sz w:val="24"/>
          <w:szCs w:val="24"/>
        </w:rPr>
        <w:t>（见谈判公告</w:t>
      </w:r>
      <w:r>
        <w:rPr>
          <w:rFonts w:ascii="宋体" w:hAnsi="宋体" w:eastAsia="宋体" w:cs="Times New Roman"/>
          <w:color w:val="auto"/>
          <w:sz w:val="24"/>
          <w:szCs w:val="24"/>
        </w:rPr>
        <w:t>1.</w:t>
      </w:r>
      <w:r>
        <w:rPr>
          <w:rFonts w:hint="eastAsia" w:ascii="宋体" w:hAnsi="宋体" w:eastAsia="宋体" w:cs="Times New Roman"/>
          <w:color w:val="auto"/>
          <w:sz w:val="24"/>
          <w:szCs w:val="24"/>
        </w:rPr>
        <w:t>4）的供应商不足三家的，该标段（包）做废标处理。</w:t>
      </w:r>
    </w:p>
    <w:p w14:paraId="430A98E1">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ascii="宋体" w:hAnsi="宋体" w:eastAsia="宋体" w:cs="Times New Roman"/>
          <w:color w:val="auto"/>
          <w:sz w:val="24"/>
          <w:szCs w:val="24"/>
        </w:rPr>
      </w:pPr>
      <w:r>
        <w:rPr>
          <w:rFonts w:ascii="宋体" w:hAnsi="宋体" w:eastAsia="宋体" w:cs="Times New Roman"/>
          <w:color w:val="auto"/>
          <w:sz w:val="24"/>
          <w:szCs w:val="24"/>
        </w:rPr>
        <w:t>1.3.4</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遵循第三章</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投标人须知</w:t>
      </w:r>
      <w:r>
        <w:rPr>
          <w:rFonts w:hint="eastAsia" w:ascii="宋体" w:hAnsi="宋体" w:eastAsia="宋体" w:cs="Times New Roman"/>
          <w:color w:val="auto"/>
          <w:sz w:val="24"/>
          <w:szCs w:val="24"/>
          <w:lang w:eastAsia="zh-CN"/>
        </w:rPr>
        <w:t>”</w:t>
      </w:r>
      <w:r>
        <w:rPr>
          <w:rFonts w:ascii="宋体" w:hAnsi="宋体" w:eastAsia="宋体" w:cs="Times New Roman"/>
          <w:color w:val="auto"/>
          <w:sz w:val="24"/>
          <w:szCs w:val="24"/>
        </w:rPr>
        <w:t>3.7.</w:t>
      </w:r>
      <w:r>
        <w:rPr>
          <w:rFonts w:hint="eastAsia" w:ascii="宋体" w:hAnsi="宋体" w:eastAsia="宋体" w:cs="Times New Roman"/>
          <w:color w:val="auto"/>
          <w:sz w:val="24"/>
          <w:szCs w:val="24"/>
        </w:rPr>
        <w:t>5项规定。</w:t>
      </w:r>
    </w:p>
    <w:p w14:paraId="35717CAD">
      <w:pPr>
        <w:spacing w:line="560" w:lineRule="exact"/>
        <w:ind w:firstLine="562" w:firstLineChars="200"/>
        <w:rPr>
          <w:rFonts w:ascii="黑体" w:hAnsi="黑体" w:eastAsia="黑体"/>
          <w:b/>
          <w:color w:val="0000FF"/>
          <w:sz w:val="28"/>
        </w:rPr>
      </w:pPr>
    </w:p>
    <w:p w14:paraId="5A1A09A6">
      <w:pPr>
        <w:widowControl w:val="0"/>
        <w:snapToGrid w:val="0"/>
        <w:spacing w:line="360" w:lineRule="auto"/>
        <w:ind w:firstLine="422" w:firstLineChars="150"/>
        <w:jc w:val="left"/>
        <w:outlineLvl w:val="1"/>
        <w:rPr>
          <w:rFonts w:ascii="黑体" w:hAnsi="黑体" w:eastAsia="黑体"/>
          <w:b/>
          <w:color w:val="auto"/>
          <w:sz w:val="28"/>
        </w:rPr>
      </w:pPr>
      <w:bookmarkStart w:id="22" w:name="_Toc19156"/>
      <w:r>
        <w:rPr>
          <w:rFonts w:ascii="黑体" w:hAnsi="黑体" w:eastAsia="黑体"/>
          <w:b/>
          <w:color w:val="auto"/>
          <w:sz w:val="28"/>
        </w:rPr>
        <w:t xml:space="preserve">2. </w:t>
      </w:r>
      <w:r>
        <w:rPr>
          <w:rFonts w:hint="eastAsia" w:ascii="黑体" w:hAnsi="黑体" w:eastAsia="黑体"/>
          <w:b/>
          <w:color w:val="auto"/>
          <w:sz w:val="28"/>
        </w:rPr>
        <w:t>标段（包）内容（范围）及服务要求</w:t>
      </w:r>
      <w:bookmarkEnd w:id="22"/>
    </w:p>
    <w:p w14:paraId="2808487B">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 xml:space="preserve">2.1 </w:t>
      </w:r>
      <w:r>
        <w:rPr>
          <w:rFonts w:hint="eastAsia" w:ascii="黑体" w:hAnsi="黑体" w:eastAsia="黑体"/>
          <w:b/>
          <w:color w:val="auto"/>
          <w:sz w:val="24"/>
          <w:szCs w:val="24"/>
        </w:rPr>
        <w:t>总体服务（方案）要求及标段（包）内容（范围）：</w:t>
      </w:r>
      <w:r>
        <w:rPr>
          <w:rFonts w:hint="eastAsia" w:asciiTheme="minorEastAsia" w:hAnsiTheme="minorEastAsia" w:eastAsiaTheme="minorEastAsia" w:cstheme="minorEastAsia"/>
          <w:color w:val="auto"/>
          <w:sz w:val="24"/>
          <w:szCs w:val="24"/>
        </w:rPr>
        <w:t>详见下述2.4款</w:t>
      </w:r>
    </w:p>
    <w:p w14:paraId="6CF0444F">
      <w:pPr>
        <w:widowControl w:val="0"/>
        <w:snapToGrid w:val="0"/>
        <w:spacing w:line="360" w:lineRule="auto"/>
        <w:ind w:firstLine="482" w:firstLineChars="200"/>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2</w:t>
      </w:r>
      <w:r>
        <w:rPr>
          <w:rFonts w:hint="eastAsia" w:ascii="黑体" w:hAnsi="黑体" w:eastAsia="黑体"/>
          <w:b/>
          <w:color w:val="auto"/>
          <w:sz w:val="24"/>
          <w:szCs w:val="24"/>
          <w:lang w:val="en-US" w:eastAsia="zh-CN"/>
        </w:rPr>
        <w:t xml:space="preserve"> </w:t>
      </w:r>
      <w:r>
        <w:rPr>
          <w:rFonts w:hint="eastAsia" w:ascii="黑体" w:hAnsi="黑体" w:eastAsia="黑体"/>
          <w:b/>
          <w:color w:val="auto"/>
          <w:sz w:val="24"/>
          <w:szCs w:val="24"/>
        </w:rPr>
        <w:t>项目落实的政府采购政策（法规标准条款）</w:t>
      </w:r>
    </w:p>
    <w:p w14:paraId="5280628D">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2.2.1 政府采购节能产品、环境标志产品实施品目清单管理后，对本次采购产品属于“节能产品政府采购品目清单”中强制采购品目的，投标产品应当具有相应的认证证书（认证证书应当为国家确定的认证机构出具、且应处于有效期之内），</w:t>
      </w:r>
      <w:r>
        <w:rPr>
          <w:rFonts w:hint="eastAsia" w:ascii="宋体" w:hAnsi="宋体" w:eastAsia="宋体" w:cs="Times New Roman"/>
          <w:color w:val="auto"/>
          <w:sz w:val="24"/>
          <w:szCs w:val="24"/>
          <w:lang w:eastAsia="zh-CN"/>
        </w:rPr>
        <w:t>《响应文件》</w:t>
      </w:r>
      <w:r>
        <w:rPr>
          <w:rFonts w:hint="eastAsia" w:ascii="宋体" w:hAnsi="宋体" w:eastAsia="宋体" w:cs="Times New Roman"/>
          <w:color w:val="auto"/>
          <w:sz w:val="24"/>
          <w:szCs w:val="24"/>
        </w:rPr>
        <w:t>中应当提供相应的认证证书（认证证书应当为国家确定的认证机构出具、且应处于有效期之内）。</w:t>
      </w:r>
    </w:p>
    <w:p w14:paraId="0A6612F5">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属于政府强制采购品目、而未按要求提供相应资料的，为无效投标。</w:t>
      </w:r>
    </w:p>
    <w:p w14:paraId="2DE17008">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2.2.2 同等条件下，获得节能产品认证证书或环境标志产品认证证书的产品优先采购。(认证证书应当为国家确定的认证机构出具、且应处于有效期之内。)</w:t>
      </w:r>
    </w:p>
    <w:p w14:paraId="54508032">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2.2.3</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应处于有效期内）。</w:t>
      </w:r>
    </w:p>
    <w:p w14:paraId="4E84EFE5">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2.2.4</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计算机产品须预装正版操作系统软件。</w:t>
      </w:r>
    </w:p>
    <w:p w14:paraId="2072832E">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2.2.5 本次采购不允许进口产品参加。</w:t>
      </w:r>
    </w:p>
    <w:p w14:paraId="508A6B64">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2.2.6</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如允许采购进口产品的，优先采购向我国企业转让技术、与我国企业签订消化吸收再创新方案的供应商的进口产品。</w:t>
      </w:r>
    </w:p>
    <w:p w14:paraId="32CCF17A">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2.2.7 促进中小企业发展扶持政策：见第四章“评审办法”第4条。</w:t>
      </w:r>
    </w:p>
    <w:p w14:paraId="67C2AB97">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2.2.8</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促进残疾人就业、支持监狱企业发展：见第四章“评审办法”第4条。</w:t>
      </w:r>
    </w:p>
    <w:p w14:paraId="06D90B5B">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2.2.9 所供产品有商品包装的应当使用绿色包装。所供产品有其他环保政策要求的，应符合相关环保法律政策要求。</w:t>
      </w:r>
    </w:p>
    <w:p w14:paraId="687DF028">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2.2.10 支持绿色建筑、绿色建材，支持使用低VOCs含量涂料和胶黏剂，支持不发达、少数民族地区的企业，促进自主创新产业发展，支持脱贫攻坚等；同等条件下，优先采购。</w:t>
      </w:r>
    </w:p>
    <w:p w14:paraId="11C041C9">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2.2.11</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执行《国务院办公厅关于在政府采购中实施本国产品标准及相关政策的通知》。</w:t>
      </w:r>
    </w:p>
    <w:p w14:paraId="756A11EA">
      <w:pPr>
        <w:widowControl w:val="0"/>
        <w:snapToGrid w:val="0"/>
        <w:spacing w:line="360" w:lineRule="auto"/>
        <w:ind w:firstLine="482" w:firstLineChars="200"/>
        <w:jc w:val="left"/>
        <w:rPr>
          <w:rFonts w:ascii="黑体" w:hAnsi="黑体" w:eastAsia="黑体"/>
          <w:b/>
          <w:color w:val="auto"/>
          <w:sz w:val="24"/>
          <w:szCs w:val="24"/>
        </w:rPr>
      </w:pPr>
      <w:r>
        <w:rPr>
          <w:rFonts w:ascii="黑体" w:hAnsi="黑体" w:eastAsia="黑体"/>
          <w:b/>
          <w:color w:val="auto"/>
          <w:sz w:val="24"/>
          <w:szCs w:val="24"/>
        </w:rPr>
        <w:t>2.3</w:t>
      </w:r>
      <w:r>
        <w:rPr>
          <w:rFonts w:hint="eastAsia" w:ascii="黑体" w:hAnsi="黑体" w:eastAsia="黑体"/>
          <w:b/>
          <w:color w:val="auto"/>
          <w:sz w:val="24"/>
          <w:szCs w:val="24"/>
          <w:lang w:val="en-US" w:eastAsia="zh-CN"/>
        </w:rPr>
        <w:t xml:space="preserve"> </w:t>
      </w:r>
      <w:r>
        <w:rPr>
          <w:rFonts w:hint="eastAsia" w:ascii="黑体" w:hAnsi="黑体" w:eastAsia="黑体"/>
          <w:b/>
          <w:color w:val="auto"/>
          <w:sz w:val="24"/>
          <w:szCs w:val="24"/>
        </w:rPr>
        <w:t>采购标的需执行的国家相关标准、行业标准、地方标准或者其他标准、规范</w:t>
      </w:r>
    </w:p>
    <w:p w14:paraId="3709B1C9">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人所投服务（及所涉货物材料设施）应符合国家质量标准、部颁标准及行业规范的要求，符合国家各项强制性规范及安全标准，投标服务（及所涉货物材料设施）不应与第三方存在知识产权权属问题；投标人应本着服务客户、为客户着想的宗旨，来完善服务（及所涉货物材料设施）及技术要求未尽事宜，不得以</w:t>
      </w:r>
      <w:r>
        <w:rPr>
          <w:rFonts w:hint="eastAsia" w:ascii="宋体" w:hAnsi="宋体" w:eastAsia="宋体" w:cs="Times New Roman"/>
          <w:color w:val="auto"/>
          <w:sz w:val="24"/>
          <w:szCs w:val="24"/>
          <w:lang w:eastAsia="zh-CN"/>
        </w:rPr>
        <w:t>《谈判文件》</w:t>
      </w:r>
      <w:r>
        <w:rPr>
          <w:rFonts w:hint="eastAsia" w:ascii="宋体" w:hAnsi="宋体" w:eastAsia="宋体" w:cs="Times New Roman"/>
          <w:color w:val="auto"/>
          <w:sz w:val="24"/>
          <w:szCs w:val="24"/>
        </w:rPr>
        <w:t>未列明事项为由，来降低响应服务（及所涉货物材料设施）的质量。</w:t>
      </w:r>
    </w:p>
    <w:p w14:paraId="3C3A1F93">
      <w:pPr>
        <w:widowControl w:val="0"/>
        <w:snapToGrid w:val="0"/>
        <w:spacing w:line="360" w:lineRule="auto"/>
        <w:ind w:firstLine="482" w:firstLineChars="200"/>
        <w:jc w:val="left"/>
        <w:rPr>
          <w:rFonts w:ascii="黑体" w:hAnsi="黑体" w:eastAsia="黑体"/>
          <w:b/>
          <w:sz w:val="24"/>
          <w:szCs w:val="24"/>
        </w:rPr>
      </w:pPr>
      <w:r>
        <w:rPr>
          <w:rFonts w:ascii="黑体" w:hAnsi="黑体" w:eastAsia="黑体"/>
          <w:b/>
          <w:sz w:val="24"/>
          <w:szCs w:val="24"/>
        </w:rPr>
        <w:t>2.</w:t>
      </w:r>
      <w:r>
        <w:rPr>
          <w:rFonts w:hint="eastAsia" w:ascii="黑体" w:hAnsi="黑体" w:eastAsia="黑体"/>
          <w:b/>
          <w:sz w:val="24"/>
          <w:szCs w:val="24"/>
        </w:rPr>
        <w:t>4</w:t>
      </w:r>
      <w:r>
        <w:rPr>
          <w:rFonts w:hint="eastAsia" w:ascii="黑体" w:hAnsi="黑体" w:eastAsia="黑体"/>
          <w:b/>
          <w:sz w:val="24"/>
          <w:szCs w:val="24"/>
          <w:lang w:val="en-US" w:eastAsia="zh-CN"/>
        </w:rPr>
        <w:t xml:space="preserve"> </w:t>
      </w:r>
      <w:r>
        <w:rPr>
          <w:rFonts w:hint="eastAsia" w:ascii="黑体" w:hAnsi="黑体" w:eastAsia="黑体"/>
          <w:b/>
          <w:sz w:val="24"/>
          <w:szCs w:val="24"/>
        </w:rPr>
        <w:t>具体服务要求及标段（包）内容（范围）</w:t>
      </w:r>
    </w:p>
    <w:p w14:paraId="57B6C178">
      <w:pPr>
        <w:widowControl w:val="0"/>
        <w:snapToGrid w:val="0"/>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一、服务内容</w:t>
      </w:r>
    </w:p>
    <w:p w14:paraId="654AB1D5">
      <w:pPr>
        <w:widowControl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1.根据我区小麦生产实际情况，结合小麦“一喷三防”工作任务，以统防统治为重点，在小麦抽穗-灌浆期，利用植保无人飞机，选择新型高效低毒低残留的对路农药和先进剂型开展小麦“一喷三防”统防统治，重点防控赤霉病、条锈病及干热风等大区域暴发性流行性灾害，兼治白粉病、叶锈病、蚜虫等病虫害。一些种植零散、有障碍物、灾害轻的地块，以及邻近有养殖、池塘、其他农作物、工厂民居等易受药剂飘移影响的地块等，不再安排飞防服务。</w:t>
      </w:r>
    </w:p>
    <w:p w14:paraId="0D9D2ACE">
      <w:pPr>
        <w:widowControl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2.在殷都区水冶镇、洪河屯乡、北蒙办、西郊乡、安丰乡、曲沟镇等中东部乡镇办开展2026年小麦“一喷三防”统防统治工作，包1：水冶镇、洪河屯乡、北蒙办、西郊乡等共计约3.067万亩，包2：安丰乡、曲沟镇等共计约3万亩，总防治面积约6.067万亩（根据实际情况适时调整面积和乡镇办，最终结算面积以实际防治面积为准）。</w:t>
      </w:r>
    </w:p>
    <w:p w14:paraId="333843BC">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二、用药要求</w:t>
      </w:r>
    </w:p>
    <w:p w14:paraId="769D43C6">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rPr>
        <w:t>参照《安阳市2026年小麦“一喷三防”统防统治技术指导意见》推荐药肥品种及配方，本次飞防药肥配方如下：</w:t>
      </w:r>
    </w:p>
    <w:tbl>
      <w:tblPr>
        <w:tblStyle w:val="16"/>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207"/>
        <w:gridCol w:w="2410"/>
        <w:gridCol w:w="1498"/>
      </w:tblGrid>
      <w:tr w14:paraId="53A3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3AF1D9CD">
            <w:pPr>
              <w:keepNext w:val="0"/>
              <w:keepLines w:val="0"/>
              <w:pageBreakBefore w:val="0"/>
              <w:widowControl/>
              <w:tabs>
                <w:tab w:val="left" w:pos="840"/>
                <w:tab w:val="left" w:pos="1060"/>
              </w:tabs>
              <w:kinsoku/>
              <w:wordWrap/>
              <w:overflowPunct/>
              <w:topLinePunct w:val="0"/>
              <w:autoSpaceDE/>
              <w:autoSpaceDN/>
              <w:bidi w:val="0"/>
              <w:adjustRightInd w:val="0"/>
              <w:snapToGrid w:val="0"/>
              <w:spacing w:line="240" w:lineRule="auto"/>
              <w:jc w:val="center"/>
              <w:textAlignment w:val="baseline"/>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序号</w:t>
            </w:r>
          </w:p>
        </w:tc>
        <w:tc>
          <w:tcPr>
            <w:tcW w:w="4207" w:type="dxa"/>
            <w:tcBorders>
              <w:top w:val="single" w:color="auto" w:sz="4" w:space="0"/>
              <w:left w:val="single" w:color="auto" w:sz="4" w:space="0"/>
              <w:bottom w:val="single" w:color="auto" w:sz="4" w:space="0"/>
              <w:right w:val="single" w:color="auto" w:sz="4" w:space="0"/>
            </w:tcBorders>
            <w:vAlign w:val="center"/>
          </w:tcPr>
          <w:p w14:paraId="6960FD61">
            <w:pPr>
              <w:keepNext w:val="0"/>
              <w:keepLines w:val="0"/>
              <w:pageBreakBefore w:val="0"/>
              <w:widowControl/>
              <w:tabs>
                <w:tab w:val="left" w:pos="840"/>
                <w:tab w:val="left" w:pos="1060"/>
              </w:tabs>
              <w:kinsoku/>
              <w:wordWrap/>
              <w:overflowPunct/>
              <w:topLinePunct w:val="0"/>
              <w:autoSpaceDE/>
              <w:autoSpaceDN/>
              <w:bidi w:val="0"/>
              <w:adjustRightInd w:val="0"/>
              <w:snapToGrid w:val="0"/>
              <w:spacing w:line="240" w:lineRule="auto"/>
              <w:jc w:val="center"/>
              <w:textAlignment w:val="baseline"/>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药肥产品</w:t>
            </w:r>
          </w:p>
        </w:tc>
        <w:tc>
          <w:tcPr>
            <w:tcW w:w="2410" w:type="dxa"/>
            <w:tcBorders>
              <w:top w:val="single" w:color="auto" w:sz="4" w:space="0"/>
              <w:left w:val="single" w:color="auto" w:sz="4" w:space="0"/>
              <w:bottom w:val="single" w:color="auto" w:sz="4" w:space="0"/>
              <w:right w:val="single" w:color="auto" w:sz="4" w:space="0"/>
            </w:tcBorders>
            <w:vAlign w:val="center"/>
          </w:tcPr>
          <w:p w14:paraId="10CEB395">
            <w:pPr>
              <w:keepNext w:val="0"/>
              <w:keepLines w:val="0"/>
              <w:pageBreakBefore w:val="0"/>
              <w:widowControl/>
              <w:tabs>
                <w:tab w:val="left" w:pos="840"/>
                <w:tab w:val="left" w:pos="1060"/>
                <w:tab w:val="left" w:pos="2310"/>
              </w:tabs>
              <w:kinsoku/>
              <w:wordWrap/>
              <w:overflowPunct/>
              <w:topLinePunct w:val="0"/>
              <w:autoSpaceDE/>
              <w:autoSpaceDN/>
              <w:bidi w:val="0"/>
              <w:adjustRightInd w:val="0"/>
              <w:snapToGrid w:val="0"/>
              <w:spacing w:line="240" w:lineRule="auto"/>
              <w:jc w:val="center"/>
              <w:textAlignment w:val="baseline"/>
              <w:rPr>
                <w:rFonts w:hint="eastAsia"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登记作物</w:t>
            </w:r>
          </w:p>
          <w:p w14:paraId="6775AA7C">
            <w:pPr>
              <w:keepNext w:val="0"/>
              <w:keepLines w:val="0"/>
              <w:pageBreakBefore w:val="0"/>
              <w:widowControl/>
              <w:tabs>
                <w:tab w:val="left" w:pos="840"/>
                <w:tab w:val="left" w:pos="1060"/>
                <w:tab w:val="left" w:pos="2310"/>
              </w:tabs>
              <w:kinsoku/>
              <w:wordWrap/>
              <w:overflowPunct/>
              <w:topLinePunct w:val="0"/>
              <w:autoSpaceDE/>
              <w:autoSpaceDN/>
              <w:bidi w:val="0"/>
              <w:adjustRightInd w:val="0"/>
              <w:snapToGrid w:val="0"/>
              <w:spacing w:line="240" w:lineRule="auto"/>
              <w:jc w:val="center"/>
              <w:textAlignment w:val="baseline"/>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防治对象或作用</w:t>
            </w:r>
          </w:p>
        </w:tc>
        <w:tc>
          <w:tcPr>
            <w:tcW w:w="1498" w:type="dxa"/>
            <w:tcBorders>
              <w:top w:val="single" w:color="auto" w:sz="4" w:space="0"/>
              <w:left w:val="single" w:color="auto" w:sz="4" w:space="0"/>
              <w:right w:val="single" w:color="auto" w:sz="4" w:space="0"/>
            </w:tcBorders>
            <w:vAlign w:val="center"/>
          </w:tcPr>
          <w:p w14:paraId="5021A268">
            <w:pPr>
              <w:keepNext w:val="0"/>
              <w:keepLines w:val="0"/>
              <w:pageBreakBefore w:val="0"/>
              <w:widowControl/>
              <w:tabs>
                <w:tab w:val="left" w:pos="840"/>
                <w:tab w:val="left" w:pos="1060"/>
              </w:tabs>
              <w:kinsoku/>
              <w:wordWrap/>
              <w:overflowPunct/>
              <w:topLinePunct w:val="0"/>
              <w:autoSpaceDE/>
              <w:autoSpaceDN/>
              <w:bidi w:val="0"/>
              <w:adjustRightInd w:val="0"/>
              <w:snapToGrid w:val="0"/>
              <w:spacing w:line="240" w:lineRule="auto"/>
              <w:jc w:val="center"/>
              <w:textAlignment w:val="baseline"/>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亩用量</w:t>
            </w:r>
          </w:p>
        </w:tc>
      </w:tr>
      <w:tr w14:paraId="5256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337FE0C9">
            <w:pPr>
              <w:keepNext w:val="0"/>
              <w:keepLines w:val="0"/>
              <w:pageBreakBefore w:val="0"/>
              <w:widowControl/>
              <w:tabs>
                <w:tab w:val="left" w:pos="420"/>
              </w:tabs>
              <w:kinsoku/>
              <w:wordWrap/>
              <w:overflowPunct/>
              <w:topLinePunct w:val="0"/>
              <w:autoSpaceDE/>
              <w:autoSpaceDN/>
              <w:bidi w:val="0"/>
              <w:spacing w:line="240" w:lineRule="auto"/>
              <w:jc w:val="center"/>
              <w:textAlignment w:val="baseline"/>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1</w:t>
            </w:r>
          </w:p>
        </w:tc>
        <w:tc>
          <w:tcPr>
            <w:tcW w:w="4207" w:type="dxa"/>
            <w:tcBorders>
              <w:top w:val="single" w:color="auto" w:sz="4" w:space="0"/>
              <w:left w:val="single" w:color="auto" w:sz="4" w:space="0"/>
              <w:bottom w:val="single" w:color="auto" w:sz="4" w:space="0"/>
              <w:right w:val="single" w:color="auto" w:sz="4" w:space="0"/>
            </w:tcBorders>
            <w:vAlign w:val="center"/>
          </w:tcPr>
          <w:p w14:paraId="2C771D45">
            <w:pPr>
              <w:keepNext w:val="0"/>
              <w:keepLines w:val="0"/>
              <w:pageBreakBefore w:val="0"/>
              <w:widowControl/>
              <w:tabs>
                <w:tab w:val="left" w:pos="420"/>
              </w:tabs>
              <w:kinsoku/>
              <w:wordWrap/>
              <w:overflowPunct/>
              <w:topLinePunct w:val="0"/>
              <w:autoSpaceDE/>
              <w:autoSpaceDN/>
              <w:bidi w:val="0"/>
              <w:snapToGrid w:val="0"/>
              <w:spacing w:line="360" w:lineRule="auto"/>
              <w:jc w:val="center"/>
              <w:textAlignment w:val="baseline"/>
              <w:rPr>
                <w:rFonts w:asciiTheme="minorEastAsia" w:hAnsiTheme="minorEastAsia" w:eastAsiaTheme="minorEastAsia"/>
                <w:color w:val="auto"/>
                <w:sz w:val="24"/>
                <w:szCs w:val="24"/>
                <w:shd w:val="clear" w:color="auto" w:fill="FFFFFF"/>
              </w:rPr>
            </w:pPr>
            <w:r>
              <w:rPr>
                <w:rFonts w:hint="eastAsia" w:asciiTheme="minorEastAsia" w:hAnsiTheme="minorEastAsia" w:eastAsiaTheme="minorEastAsia"/>
                <w:color w:val="auto"/>
                <w:sz w:val="24"/>
                <w:szCs w:val="24"/>
                <w:shd w:val="clear" w:color="auto" w:fill="FFFFFF"/>
              </w:rPr>
              <w:t>★50%戊唑</w:t>
            </w:r>
            <w:r>
              <w:rPr>
                <w:rFonts w:hint="eastAsia" w:cs="宋体" w:asciiTheme="minorEastAsia" w:hAnsiTheme="minorEastAsia" w:eastAsiaTheme="minorEastAsia"/>
                <w:color w:val="auto"/>
                <w:sz w:val="24"/>
                <w:szCs w:val="24"/>
                <w:shd w:val="clear" w:color="auto" w:fill="FFFFFF"/>
              </w:rPr>
              <w:t>•</w:t>
            </w:r>
            <w:r>
              <w:rPr>
                <w:rFonts w:hint="eastAsia" w:asciiTheme="minorEastAsia" w:hAnsiTheme="minorEastAsia" w:eastAsiaTheme="minorEastAsia"/>
                <w:color w:val="auto"/>
                <w:sz w:val="24"/>
                <w:szCs w:val="24"/>
                <w:shd w:val="clear" w:color="auto" w:fill="FFFFFF"/>
              </w:rPr>
              <w:t>嘧菌酯悬浮剂</w:t>
            </w:r>
            <w:r>
              <w:rPr>
                <w:rFonts w:hint="eastAsia" w:asciiTheme="minorEastAsia" w:hAnsiTheme="minorEastAsia" w:eastAsiaTheme="minorEastAsia"/>
                <w:color w:val="auto"/>
                <w:sz w:val="24"/>
                <w:szCs w:val="24"/>
                <w:shd w:val="clear" w:color="auto" w:fill="FFFFFF"/>
              </w:rPr>
              <w:br w:type="textWrapping"/>
            </w:r>
            <w:r>
              <w:rPr>
                <w:rFonts w:hint="eastAsia" w:asciiTheme="minorEastAsia" w:hAnsiTheme="minorEastAsia" w:eastAsiaTheme="minorEastAsia"/>
                <w:color w:val="auto"/>
                <w:sz w:val="24"/>
                <w:szCs w:val="24"/>
                <w:shd w:val="clear" w:color="auto" w:fill="FFFFFF"/>
              </w:rPr>
              <w:t>（</w:t>
            </w:r>
            <w:r>
              <w:rPr>
                <w:rFonts w:hint="eastAsia" w:cs="仿宋" w:asciiTheme="minorEastAsia" w:hAnsiTheme="minorEastAsia" w:eastAsiaTheme="minorEastAsia"/>
                <w:color w:val="auto"/>
                <w:sz w:val="24"/>
                <w:szCs w:val="24"/>
                <w:shd w:val="clear" w:color="auto" w:fill="FFFFFF"/>
              </w:rPr>
              <w:t>嘧菌酯20%，戊唑醇30%</w:t>
            </w:r>
            <w:r>
              <w:rPr>
                <w:rFonts w:hint="eastAsia" w:asciiTheme="minorEastAsia" w:hAnsiTheme="minorEastAsia" w:eastAsiaTheme="minorEastAsia"/>
                <w:color w:val="auto"/>
                <w:sz w:val="24"/>
                <w:szCs w:val="24"/>
                <w:shd w:val="clear" w:color="auto" w:fill="FFFFFF"/>
              </w:rPr>
              <w:t>）</w:t>
            </w:r>
          </w:p>
        </w:tc>
        <w:tc>
          <w:tcPr>
            <w:tcW w:w="2410" w:type="dxa"/>
            <w:tcBorders>
              <w:top w:val="single" w:color="auto" w:sz="4" w:space="0"/>
              <w:left w:val="single" w:color="auto" w:sz="4" w:space="0"/>
              <w:bottom w:val="single" w:color="auto" w:sz="4" w:space="0"/>
              <w:right w:val="single" w:color="auto" w:sz="4" w:space="0"/>
            </w:tcBorders>
            <w:vAlign w:val="center"/>
          </w:tcPr>
          <w:p w14:paraId="5B099BAD">
            <w:pPr>
              <w:keepNext w:val="0"/>
              <w:keepLines w:val="0"/>
              <w:pageBreakBefore w:val="0"/>
              <w:widowControl/>
              <w:tabs>
                <w:tab w:val="left" w:pos="420"/>
              </w:tabs>
              <w:kinsoku/>
              <w:wordWrap/>
              <w:overflowPunct/>
              <w:topLinePunct w:val="0"/>
              <w:autoSpaceDE/>
              <w:autoSpaceDN/>
              <w:bidi w:val="0"/>
              <w:snapToGrid w:val="0"/>
              <w:spacing w:line="240" w:lineRule="auto"/>
              <w:jc w:val="center"/>
              <w:textAlignment w:val="baseline"/>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小麦；赤霉病，或白粉病、锈病</w:t>
            </w:r>
          </w:p>
        </w:tc>
        <w:tc>
          <w:tcPr>
            <w:tcW w:w="1498" w:type="dxa"/>
            <w:tcBorders>
              <w:top w:val="single" w:color="auto" w:sz="4" w:space="0"/>
              <w:left w:val="single" w:color="auto" w:sz="4" w:space="0"/>
              <w:bottom w:val="single" w:color="auto" w:sz="4" w:space="0"/>
              <w:right w:val="single" w:color="auto" w:sz="4" w:space="0"/>
            </w:tcBorders>
            <w:vAlign w:val="center"/>
          </w:tcPr>
          <w:p w14:paraId="57304BAD">
            <w:pPr>
              <w:keepNext w:val="0"/>
              <w:keepLines w:val="0"/>
              <w:pageBreakBefore w:val="0"/>
              <w:widowControl/>
              <w:tabs>
                <w:tab w:val="left" w:pos="420"/>
              </w:tabs>
              <w:kinsoku/>
              <w:wordWrap/>
              <w:overflowPunct/>
              <w:topLinePunct w:val="0"/>
              <w:autoSpaceDE/>
              <w:autoSpaceDN/>
              <w:bidi w:val="0"/>
              <w:snapToGrid w:val="0"/>
              <w:spacing w:line="240" w:lineRule="auto"/>
              <w:jc w:val="center"/>
              <w:textAlignment w:val="baseline"/>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20mL</w:t>
            </w:r>
          </w:p>
        </w:tc>
      </w:tr>
      <w:tr w14:paraId="2523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6EAC55F3">
            <w:pPr>
              <w:keepNext w:val="0"/>
              <w:keepLines w:val="0"/>
              <w:pageBreakBefore w:val="0"/>
              <w:widowControl/>
              <w:tabs>
                <w:tab w:val="left" w:pos="420"/>
              </w:tabs>
              <w:kinsoku/>
              <w:wordWrap/>
              <w:overflowPunct/>
              <w:topLinePunct w:val="0"/>
              <w:autoSpaceDE/>
              <w:autoSpaceDN/>
              <w:bidi w:val="0"/>
              <w:spacing w:line="240" w:lineRule="auto"/>
              <w:jc w:val="center"/>
              <w:textAlignment w:val="baseline"/>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2</w:t>
            </w:r>
          </w:p>
        </w:tc>
        <w:tc>
          <w:tcPr>
            <w:tcW w:w="4207" w:type="dxa"/>
            <w:tcBorders>
              <w:top w:val="single" w:color="auto" w:sz="4" w:space="0"/>
              <w:left w:val="single" w:color="auto" w:sz="4" w:space="0"/>
              <w:bottom w:val="single" w:color="auto" w:sz="4" w:space="0"/>
              <w:right w:val="single" w:color="auto" w:sz="4" w:space="0"/>
            </w:tcBorders>
            <w:vAlign w:val="center"/>
          </w:tcPr>
          <w:p w14:paraId="7CD43B2B">
            <w:pPr>
              <w:keepNext w:val="0"/>
              <w:keepLines w:val="0"/>
              <w:pageBreakBefore w:val="0"/>
              <w:widowControl/>
              <w:tabs>
                <w:tab w:val="left" w:pos="420"/>
              </w:tabs>
              <w:kinsoku/>
              <w:wordWrap/>
              <w:overflowPunct/>
              <w:topLinePunct w:val="0"/>
              <w:autoSpaceDE/>
              <w:autoSpaceDN/>
              <w:bidi w:val="0"/>
              <w:snapToGrid w:val="0"/>
              <w:spacing w:line="360" w:lineRule="auto"/>
              <w:jc w:val="center"/>
              <w:textAlignment w:val="baseline"/>
              <w:rPr>
                <w:rFonts w:asciiTheme="minorEastAsia" w:hAnsiTheme="minorEastAsia" w:eastAsiaTheme="minorEastAsia"/>
                <w:color w:val="auto"/>
                <w:sz w:val="24"/>
                <w:szCs w:val="24"/>
                <w:shd w:val="clear" w:color="auto" w:fill="FFFFFF"/>
              </w:rPr>
            </w:pPr>
            <w:r>
              <w:rPr>
                <w:rFonts w:hint="eastAsia" w:asciiTheme="minorEastAsia" w:hAnsiTheme="minorEastAsia" w:eastAsiaTheme="minorEastAsia"/>
                <w:color w:val="auto"/>
                <w:sz w:val="24"/>
                <w:szCs w:val="24"/>
                <w:shd w:val="clear" w:color="auto" w:fill="FFFFFF"/>
              </w:rPr>
              <w:t>★30%</w:t>
            </w:r>
            <w:r>
              <w:rPr>
                <w:rFonts w:hint="eastAsia" w:cs="仿宋" w:asciiTheme="minorEastAsia" w:hAnsiTheme="minorEastAsia" w:eastAsiaTheme="minorEastAsia"/>
                <w:color w:val="auto"/>
                <w:sz w:val="24"/>
                <w:szCs w:val="24"/>
                <w:shd w:val="clear" w:color="auto" w:fill="FFFFFF"/>
              </w:rPr>
              <w:t>联苯</w:t>
            </w:r>
            <w:r>
              <w:rPr>
                <w:rFonts w:hint="eastAsia" w:cs="宋体" w:asciiTheme="minorEastAsia" w:hAnsiTheme="minorEastAsia" w:eastAsiaTheme="minorEastAsia"/>
                <w:color w:val="auto"/>
                <w:sz w:val="24"/>
                <w:szCs w:val="24"/>
                <w:shd w:val="clear" w:color="auto" w:fill="FFFFFF"/>
              </w:rPr>
              <w:t>•</w:t>
            </w:r>
            <w:r>
              <w:rPr>
                <w:rFonts w:hint="eastAsia" w:cs="仿宋" w:asciiTheme="minorEastAsia" w:hAnsiTheme="minorEastAsia" w:eastAsiaTheme="minorEastAsia"/>
                <w:color w:val="auto"/>
                <w:sz w:val="24"/>
                <w:szCs w:val="24"/>
                <w:shd w:val="clear" w:color="auto" w:fill="FFFFFF"/>
              </w:rPr>
              <w:t>吡虫啉悬浮剂</w:t>
            </w:r>
            <w:r>
              <w:rPr>
                <w:rFonts w:hint="eastAsia" w:cs="仿宋" w:asciiTheme="minorEastAsia" w:hAnsiTheme="minorEastAsia" w:eastAsiaTheme="minorEastAsia"/>
                <w:color w:val="auto"/>
                <w:sz w:val="24"/>
                <w:szCs w:val="24"/>
                <w:shd w:val="clear" w:color="auto" w:fill="FFFFFF"/>
              </w:rPr>
              <w:br w:type="textWrapping"/>
            </w:r>
            <w:r>
              <w:rPr>
                <w:rFonts w:hint="eastAsia" w:asciiTheme="minorEastAsia" w:hAnsiTheme="minorEastAsia" w:eastAsiaTheme="minorEastAsia"/>
                <w:color w:val="auto"/>
                <w:sz w:val="24"/>
                <w:szCs w:val="24"/>
                <w:shd w:val="clear" w:color="auto" w:fill="FFFFFF"/>
              </w:rPr>
              <w:t>（联苯菊酯5%，吡虫啉25%）</w:t>
            </w:r>
          </w:p>
        </w:tc>
        <w:tc>
          <w:tcPr>
            <w:tcW w:w="2410" w:type="dxa"/>
            <w:tcBorders>
              <w:top w:val="single" w:color="auto" w:sz="4" w:space="0"/>
              <w:left w:val="single" w:color="auto" w:sz="4" w:space="0"/>
              <w:bottom w:val="single" w:color="auto" w:sz="4" w:space="0"/>
              <w:right w:val="single" w:color="auto" w:sz="4" w:space="0"/>
            </w:tcBorders>
            <w:vAlign w:val="center"/>
          </w:tcPr>
          <w:p w14:paraId="642812DC">
            <w:pPr>
              <w:keepNext w:val="0"/>
              <w:keepLines w:val="0"/>
              <w:pageBreakBefore w:val="0"/>
              <w:widowControl/>
              <w:tabs>
                <w:tab w:val="left" w:pos="420"/>
              </w:tabs>
              <w:kinsoku/>
              <w:wordWrap/>
              <w:overflowPunct/>
              <w:topLinePunct w:val="0"/>
              <w:autoSpaceDE/>
              <w:autoSpaceDN/>
              <w:bidi w:val="0"/>
              <w:snapToGrid w:val="0"/>
              <w:spacing w:line="240" w:lineRule="auto"/>
              <w:jc w:val="center"/>
              <w:textAlignment w:val="baseline"/>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小麦；蚜虫</w:t>
            </w:r>
          </w:p>
        </w:tc>
        <w:tc>
          <w:tcPr>
            <w:tcW w:w="1498" w:type="dxa"/>
            <w:tcBorders>
              <w:top w:val="single" w:color="auto" w:sz="4" w:space="0"/>
              <w:left w:val="single" w:color="auto" w:sz="4" w:space="0"/>
              <w:bottom w:val="single" w:color="auto" w:sz="4" w:space="0"/>
              <w:right w:val="single" w:color="auto" w:sz="4" w:space="0"/>
            </w:tcBorders>
            <w:vAlign w:val="center"/>
          </w:tcPr>
          <w:p w14:paraId="7A187713">
            <w:pPr>
              <w:keepNext w:val="0"/>
              <w:keepLines w:val="0"/>
              <w:pageBreakBefore w:val="0"/>
              <w:widowControl/>
              <w:tabs>
                <w:tab w:val="left" w:pos="420"/>
              </w:tabs>
              <w:kinsoku/>
              <w:wordWrap/>
              <w:overflowPunct/>
              <w:topLinePunct w:val="0"/>
              <w:autoSpaceDE/>
              <w:autoSpaceDN/>
              <w:bidi w:val="0"/>
              <w:snapToGrid w:val="0"/>
              <w:spacing w:line="240" w:lineRule="auto"/>
              <w:jc w:val="center"/>
              <w:textAlignment w:val="baseline"/>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6mL</w:t>
            </w:r>
          </w:p>
        </w:tc>
      </w:tr>
      <w:tr w14:paraId="74A8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0727C02C">
            <w:pPr>
              <w:keepNext w:val="0"/>
              <w:keepLines w:val="0"/>
              <w:pageBreakBefore w:val="0"/>
              <w:widowControl/>
              <w:tabs>
                <w:tab w:val="left" w:pos="420"/>
              </w:tabs>
              <w:kinsoku/>
              <w:wordWrap/>
              <w:overflowPunct/>
              <w:topLinePunct w:val="0"/>
              <w:autoSpaceDE/>
              <w:autoSpaceDN/>
              <w:bidi w:val="0"/>
              <w:spacing w:line="240" w:lineRule="auto"/>
              <w:jc w:val="center"/>
              <w:textAlignment w:val="baseline"/>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3</w:t>
            </w:r>
          </w:p>
        </w:tc>
        <w:tc>
          <w:tcPr>
            <w:tcW w:w="4207" w:type="dxa"/>
            <w:tcBorders>
              <w:top w:val="single" w:color="auto" w:sz="4" w:space="0"/>
              <w:left w:val="single" w:color="auto" w:sz="4" w:space="0"/>
              <w:bottom w:val="single" w:color="auto" w:sz="4" w:space="0"/>
              <w:right w:val="single" w:color="auto" w:sz="4" w:space="0"/>
            </w:tcBorders>
            <w:vAlign w:val="center"/>
          </w:tcPr>
          <w:p w14:paraId="524E2C4B">
            <w:pPr>
              <w:keepNext w:val="0"/>
              <w:keepLines w:val="0"/>
              <w:pageBreakBefore w:val="0"/>
              <w:widowControl/>
              <w:tabs>
                <w:tab w:val="left" w:pos="420"/>
              </w:tabs>
              <w:kinsoku/>
              <w:wordWrap/>
              <w:overflowPunct/>
              <w:topLinePunct w:val="0"/>
              <w:autoSpaceDE/>
              <w:autoSpaceDN/>
              <w:bidi w:val="0"/>
              <w:snapToGrid w:val="0"/>
              <w:spacing w:line="360" w:lineRule="auto"/>
              <w:jc w:val="center"/>
              <w:textAlignment w:val="baseline"/>
              <w:rPr>
                <w:rFonts w:asciiTheme="minorEastAsia" w:hAnsiTheme="minorEastAsia" w:eastAsiaTheme="minorEastAsia"/>
                <w:color w:val="auto"/>
                <w:sz w:val="24"/>
                <w:szCs w:val="24"/>
                <w:shd w:val="clear" w:color="auto" w:fill="FFFFFF"/>
              </w:rPr>
            </w:pPr>
            <w:r>
              <w:rPr>
                <w:rFonts w:hint="eastAsia" w:asciiTheme="minorEastAsia" w:hAnsiTheme="minorEastAsia" w:eastAsiaTheme="minorEastAsia"/>
                <w:color w:val="auto"/>
                <w:sz w:val="24"/>
                <w:szCs w:val="24"/>
                <w:shd w:val="clear" w:color="auto" w:fill="FFFFFF"/>
              </w:rPr>
              <w:t>★</w:t>
            </w:r>
            <w:r>
              <w:rPr>
                <w:rFonts w:hint="eastAsia" w:cs="仿宋" w:asciiTheme="minorEastAsia" w:hAnsiTheme="minorEastAsia" w:eastAsiaTheme="minorEastAsia"/>
                <w:color w:val="auto"/>
                <w:sz w:val="24"/>
                <w:szCs w:val="24"/>
                <w:shd w:val="clear" w:color="auto" w:fill="FFFFFF"/>
              </w:rPr>
              <w:t>2%苄氨</w:t>
            </w:r>
            <w:r>
              <w:rPr>
                <w:rFonts w:hint="eastAsia" w:cs="宋体" w:asciiTheme="minorEastAsia" w:hAnsiTheme="minorEastAsia" w:eastAsiaTheme="minorEastAsia"/>
                <w:color w:val="auto"/>
                <w:sz w:val="24"/>
                <w:szCs w:val="24"/>
                <w:shd w:val="clear" w:color="auto" w:fill="FFFFFF"/>
              </w:rPr>
              <w:t>•</w:t>
            </w:r>
            <w:r>
              <w:rPr>
                <w:rFonts w:hint="eastAsia" w:cs="仿宋" w:asciiTheme="minorEastAsia" w:hAnsiTheme="minorEastAsia" w:eastAsiaTheme="minorEastAsia"/>
                <w:color w:val="auto"/>
                <w:sz w:val="24"/>
                <w:szCs w:val="24"/>
                <w:shd w:val="clear" w:color="auto" w:fill="FFFFFF"/>
              </w:rPr>
              <w:t>烷醇悬浮剂</w:t>
            </w:r>
            <w:r>
              <w:rPr>
                <w:rFonts w:hint="eastAsia" w:cs="仿宋" w:asciiTheme="minorEastAsia" w:hAnsiTheme="minorEastAsia" w:eastAsiaTheme="minorEastAsia"/>
                <w:color w:val="auto"/>
                <w:sz w:val="24"/>
                <w:szCs w:val="24"/>
                <w:shd w:val="clear" w:color="auto" w:fill="FFFFFF"/>
              </w:rPr>
              <w:br w:type="textWrapping"/>
            </w:r>
            <w:r>
              <w:rPr>
                <w:rFonts w:hint="eastAsia" w:cs="仿宋" w:asciiTheme="minorEastAsia" w:hAnsiTheme="minorEastAsia" w:eastAsiaTheme="minorEastAsia"/>
                <w:color w:val="auto"/>
                <w:sz w:val="24"/>
                <w:szCs w:val="24"/>
                <w:shd w:val="clear" w:color="auto" w:fill="FFFFFF"/>
              </w:rPr>
              <w:t>（苄氨基嘌呤1.9%，三十烷醇0.1%）</w:t>
            </w:r>
          </w:p>
        </w:tc>
        <w:tc>
          <w:tcPr>
            <w:tcW w:w="2410" w:type="dxa"/>
            <w:tcBorders>
              <w:top w:val="single" w:color="auto" w:sz="4" w:space="0"/>
              <w:left w:val="single" w:color="auto" w:sz="4" w:space="0"/>
              <w:bottom w:val="single" w:color="auto" w:sz="4" w:space="0"/>
              <w:right w:val="single" w:color="auto" w:sz="4" w:space="0"/>
            </w:tcBorders>
            <w:vAlign w:val="center"/>
          </w:tcPr>
          <w:p w14:paraId="67E5C5C8">
            <w:pPr>
              <w:keepNext w:val="0"/>
              <w:keepLines w:val="0"/>
              <w:pageBreakBefore w:val="0"/>
              <w:widowControl/>
              <w:tabs>
                <w:tab w:val="left" w:pos="420"/>
              </w:tabs>
              <w:kinsoku/>
              <w:wordWrap/>
              <w:overflowPunct/>
              <w:topLinePunct w:val="0"/>
              <w:autoSpaceDE/>
              <w:autoSpaceDN/>
              <w:bidi w:val="0"/>
              <w:snapToGrid w:val="0"/>
              <w:spacing w:line="240" w:lineRule="auto"/>
              <w:jc w:val="center"/>
              <w:textAlignment w:val="baseline"/>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小麦；调节生长</w:t>
            </w:r>
          </w:p>
        </w:tc>
        <w:tc>
          <w:tcPr>
            <w:tcW w:w="1498" w:type="dxa"/>
            <w:tcBorders>
              <w:top w:val="single" w:color="auto" w:sz="4" w:space="0"/>
              <w:left w:val="single" w:color="auto" w:sz="4" w:space="0"/>
              <w:bottom w:val="single" w:color="auto" w:sz="4" w:space="0"/>
              <w:right w:val="single" w:color="auto" w:sz="4" w:space="0"/>
            </w:tcBorders>
            <w:vAlign w:val="center"/>
          </w:tcPr>
          <w:p w14:paraId="784783F2">
            <w:pPr>
              <w:keepNext w:val="0"/>
              <w:keepLines w:val="0"/>
              <w:pageBreakBefore w:val="0"/>
              <w:widowControl/>
              <w:tabs>
                <w:tab w:val="left" w:pos="420"/>
              </w:tabs>
              <w:kinsoku/>
              <w:wordWrap/>
              <w:overflowPunct/>
              <w:topLinePunct w:val="0"/>
              <w:autoSpaceDE/>
              <w:autoSpaceDN/>
              <w:bidi w:val="0"/>
              <w:snapToGrid w:val="0"/>
              <w:spacing w:line="240" w:lineRule="auto"/>
              <w:jc w:val="center"/>
              <w:textAlignment w:val="baseline"/>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10g</w:t>
            </w:r>
          </w:p>
        </w:tc>
      </w:tr>
      <w:tr w14:paraId="4EF6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028162B5">
            <w:pPr>
              <w:keepNext w:val="0"/>
              <w:keepLines w:val="0"/>
              <w:pageBreakBefore w:val="0"/>
              <w:widowControl/>
              <w:tabs>
                <w:tab w:val="left" w:pos="420"/>
              </w:tabs>
              <w:kinsoku/>
              <w:wordWrap/>
              <w:overflowPunct/>
              <w:topLinePunct w:val="0"/>
              <w:autoSpaceDE/>
              <w:autoSpaceDN/>
              <w:bidi w:val="0"/>
              <w:spacing w:line="240" w:lineRule="auto"/>
              <w:jc w:val="center"/>
              <w:textAlignment w:val="baseline"/>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4</w:t>
            </w:r>
          </w:p>
        </w:tc>
        <w:tc>
          <w:tcPr>
            <w:tcW w:w="4207" w:type="dxa"/>
            <w:tcBorders>
              <w:top w:val="single" w:color="auto" w:sz="4" w:space="0"/>
              <w:left w:val="single" w:color="auto" w:sz="4" w:space="0"/>
              <w:bottom w:val="single" w:color="auto" w:sz="4" w:space="0"/>
              <w:right w:val="single" w:color="auto" w:sz="4" w:space="0"/>
            </w:tcBorders>
            <w:vAlign w:val="center"/>
          </w:tcPr>
          <w:p w14:paraId="3FF75772">
            <w:pPr>
              <w:keepNext w:val="0"/>
              <w:keepLines w:val="0"/>
              <w:pageBreakBefore w:val="0"/>
              <w:widowControl/>
              <w:tabs>
                <w:tab w:val="left" w:pos="420"/>
              </w:tabs>
              <w:kinsoku/>
              <w:wordWrap/>
              <w:overflowPunct/>
              <w:topLinePunct w:val="0"/>
              <w:autoSpaceDE/>
              <w:autoSpaceDN/>
              <w:bidi w:val="0"/>
              <w:snapToGrid w:val="0"/>
              <w:spacing w:line="360" w:lineRule="auto"/>
              <w:jc w:val="center"/>
              <w:textAlignment w:val="baseline"/>
              <w:rPr>
                <w:rFonts w:asciiTheme="minorEastAsia" w:hAnsiTheme="minorEastAsia" w:eastAsiaTheme="minorEastAsia"/>
                <w:color w:val="auto"/>
                <w:sz w:val="24"/>
                <w:szCs w:val="24"/>
                <w:shd w:val="clear" w:color="auto" w:fill="FFFFFF"/>
              </w:rPr>
            </w:pPr>
            <w:r>
              <w:rPr>
                <w:rFonts w:hint="eastAsia" w:ascii="宋体" w:hAnsi="宋体" w:eastAsia="宋体" w:cs="Times New Roman"/>
                <w:b/>
                <w:bCs/>
                <w:color w:val="auto"/>
                <w:sz w:val="24"/>
                <w:szCs w:val="24"/>
                <w:lang w:val="en-US" w:eastAsia="zh-CN"/>
              </w:rPr>
              <w:t>▲</w:t>
            </w:r>
            <w:r>
              <w:rPr>
                <w:rFonts w:hint="eastAsia" w:asciiTheme="minorEastAsia" w:hAnsiTheme="minorEastAsia" w:eastAsiaTheme="minorEastAsia"/>
                <w:color w:val="auto"/>
                <w:sz w:val="24"/>
                <w:szCs w:val="24"/>
                <w:shd w:val="clear" w:color="auto" w:fill="FFFFFF"/>
              </w:rPr>
              <w:t>含氨基酸水溶肥料</w:t>
            </w:r>
            <w:r>
              <w:rPr>
                <w:rFonts w:hint="eastAsia" w:cs="仿宋" w:asciiTheme="minorEastAsia" w:hAnsiTheme="minorEastAsia" w:eastAsiaTheme="minorEastAsia"/>
                <w:color w:val="auto"/>
                <w:sz w:val="24"/>
                <w:szCs w:val="24"/>
                <w:shd w:val="clear" w:color="auto" w:fill="FFFFFF"/>
              </w:rPr>
              <w:br w:type="textWrapping"/>
            </w:r>
            <w:r>
              <w:rPr>
                <w:rFonts w:hint="eastAsia" w:asciiTheme="minorEastAsia" w:hAnsiTheme="minorEastAsia" w:eastAsiaTheme="minorEastAsia"/>
                <w:color w:val="auto"/>
                <w:sz w:val="24"/>
                <w:szCs w:val="24"/>
                <w:shd w:val="clear" w:color="auto" w:fill="FFFFFF"/>
              </w:rPr>
              <w:t>（水剂，</w:t>
            </w:r>
            <w:r>
              <w:rPr>
                <w:rFonts w:hint="eastAsia" w:cs="仿宋" w:asciiTheme="minorEastAsia" w:hAnsiTheme="minorEastAsia" w:eastAsiaTheme="minorEastAsia"/>
                <w:color w:val="auto"/>
                <w:sz w:val="24"/>
                <w:szCs w:val="24"/>
                <w:shd w:val="clear" w:color="auto" w:fill="FFFFFF"/>
              </w:rPr>
              <w:t>氨基酸≥100g/L；Mg≥30g/L；Cu+Fe+Mn+Zn+B≥3g/L</w:t>
            </w:r>
            <w:r>
              <w:rPr>
                <w:rFonts w:hint="eastAsia" w:asciiTheme="minorEastAsia" w:hAnsiTheme="minorEastAsia" w:eastAsiaTheme="minorEastAsia"/>
                <w:color w:val="auto"/>
                <w:sz w:val="24"/>
                <w:szCs w:val="24"/>
                <w:shd w:val="clear" w:color="auto" w:fill="FFFFFF"/>
              </w:rPr>
              <w:t>）</w:t>
            </w:r>
          </w:p>
        </w:tc>
        <w:tc>
          <w:tcPr>
            <w:tcW w:w="2410" w:type="dxa"/>
            <w:tcBorders>
              <w:top w:val="single" w:color="auto" w:sz="4" w:space="0"/>
              <w:left w:val="single" w:color="auto" w:sz="4" w:space="0"/>
              <w:bottom w:val="single" w:color="auto" w:sz="4" w:space="0"/>
              <w:right w:val="single" w:color="auto" w:sz="4" w:space="0"/>
            </w:tcBorders>
            <w:vAlign w:val="center"/>
          </w:tcPr>
          <w:p w14:paraId="5EBA0403">
            <w:pPr>
              <w:keepNext w:val="0"/>
              <w:keepLines w:val="0"/>
              <w:pageBreakBefore w:val="0"/>
              <w:widowControl/>
              <w:tabs>
                <w:tab w:val="left" w:pos="420"/>
              </w:tabs>
              <w:kinsoku/>
              <w:wordWrap/>
              <w:overflowPunct/>
              <w:topLinePunct w:val="0"/>
              <w:autoSpaceDE/>
              <w:autoSpaceDN/>
              <w:bidi w:val="0"/>
              <w:snapToGrid w:val="0"/>
              <w:spacing w:line="240" w:lineRule="auto"/>
              <w:jc w:val="center"/>
              <w:textAlignment w:val="baseline"/>
              <w:rPr>
                <w:rFonts w:asciiTheme="minorEastAsia" w:hAnsiTheme="minorEastAsia" w:eastAsiaTheme="minorEastAsia"/>
                <w:color w:val="auto"/>
                <w:sz w:val="24"/>
                <w:szCs w:val="24"/>
                <w:shd w:val="clear" w:color="auto" w:fill="FFFFFF"/>
              </w:rPr>
            </w:pPr>
            <w:r>
              <w:rPr>
                <w:rFonts w:hint="eastAsia" w:asciiTheme="minorEastAsia" w:hAnsiTheme="minorEastAsia" w:eastAsiaTheme="minorEastAsia"/>
                <w:color w:val="auto"/>
                <w:sz w:val="24"/>
                <w:szCs w:val="24"/>
                <w:shd w:val="clear" w:color="auto" w:fill="FFFFFF"/>
              </w:rPr>
              <w:t>小麦；干热风</w:t>
            </w:r>
          </w:p>
        </w:tc>
        <w:tc>
          <w:tcPr>
            <w:tcW w:w="1498" w:type="dxa"/>
            <w:tcBorders>
              <w:top w:val="single" w:color="auto" w:sz="4" w:space="0"/>
              <w:left w:val="single" w:color="auto" w:sz="4" w:space="0"/>
              <w:bottom w:val="single" w:color="auto" w:sz="4" w:space="0"/>
              <w:right w:val="single" w:color="auto" w:sz="4" w:space="0"/>
            </w:tcBorders>
            <w:vAlign w:val="center"/>
          </w:tcPr>
          <w:p w14:paraId="23C5D5C1">
            <w:pPr>
              <w:keepNext w:val="0"/>
              <w:keepLines w:val="0"/>
              <w:pageBreakBefore w:val="0"/>
              <w:widowControl/>
              <w:tabs>
                <w:tab w:val="left" w:pos="420"/>
              </w:tabs>
              <w:kinsoku/>
              <w:wordWrap/>
              <w:overflowPunct/>
              <w:topLinePunct w:val="0"/>
              <w:autoSpaceDE/>
              <w:autoSpaceDN/>
              <w:bidi w:val="0"/>
              <w:snapToGrid w:val="0"/>
              <w:spacing w:line="240" w:lineRule="auto"/>
              <w:jc w:val="center"/>
              <w:textAlignment w:val="baseline"/>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50g</w:t>
            </w:r>
          </w:p>
        </w:tc>
      </w:tr>
      <w:tr w14:paraId="7C36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6A34CCC6">
            <w:pPr>
              <w:keepNext w:val="0"/>
              <w:keepLines w:val="0"/>
              <w:pageBreakBefore w:val="0"/>
              <w:widowControl/>
              <w:tabs>
                <w:tab w:val="left" w:pos="420"/>
              </w:tabs>
              <w:kinsoku/>
              <w:wordWrap/>
              <w:overflowPunct/>
              <w:topLinePunct w:val="0"/>
              <w:autoSpaceDE/>
              <w:autoSpaceDN/>
              <w:bidi w:val="0"/>
              <w:spacing w:line="240" w:lineRule="auto"/>
              <w:jc w:val="center"/>
              <w:textAlignment w:val="baseline"/>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5</w:t>
            </w:r>
          </w:p>
        </w:tc>
        <w:tc>
          <w:tcPr>
            <w:tcW w:w="4207" w:type="dxa"/>
            <w:tcBorders>
              <w:top w:val="single" w:color="auto" w:sz="4" w:space="0"/>
              <w:left w:val="single" w:color="auto" w:sz="4" w:space="0"/>
              <w:bottom w:val="single" w:color="auto" w:sz="4" w:space="0"/>
              <w:right w:val="single" w:color="auto" w:sz="4" w:space="0"/>
            </w:tcBorders>
            <w:vAlign w:val="center"/>
          </w:tcPr>
          <w:p w14:paraId="0464CBA5">
            <w:pPr>
              <w:keepNext w:val="0"/>
              <w:keepLines w:val="0"/>
              <w:pageBreakBefore w:val="0"/>
              <w:widowControl/>
              <w:tabs>
                <w:tab w:val="left" w:pos="420"/>
              </w:tabs>
              <w:kinsoku/>
              <w:wordWrap/>
              <w:overflowPunct/>
              <w:topLinePunct w:val="0"/>
              <w:autoSpaceDE/>
              <w:autoSpaceDN/>
              <w:bidi w:val="0"/>
              <w:snapToGrid w:val="0"/>
              <w:spacing w:line="360" w:lineRule="auto"/>
              <w:jc w:val="center"/>
              <w:textAlignment w:val="baseline"/>
              <w:rPr>
                <w:rFonts w:asciiTheme="minorEastAsia" w:hAnsiTheme="minorEastAsia" w:eastAsiaTheme="minorEastAsia"/>
                <w:color w:val="auto"/>
                <w:sz w:val="24"/>
                <w:szCs w:val="24"/>
                <w:shd w:val="clear" w:color="auto" w:fill="FFFFFF"/>
              </w:rPr>
            </w:pPr>
            <w:r>
              <w:rPr>
                <w:rFonts w:hint="eastAsia" w:asciiTheme="minorEastAsia" w:hAnsiTheme="minorEastAsia" w:eastAsiaTheme="minorEastAsia"/>
                <w:color w:val="auto"/>
                <w:sz w:val="24"/>
                <w:szCs w:val="24"/>
                <w:shd w:val="clear" w:color="auto" w:fill="FFFFFF"/>
              </w:rPr>
              <w:t>磷酸二氢钾</w:t>
            </w:r>
            <w:r>
              <w:rPr>
                <w:rFonts w:hint="eastAsia" w:cs="仿宋" w:asciiTheme="minorEastAsia" w:hAnsiTheme="minorEastAsia" w:eastAsiaTheme="minorEastAsia"/>
                <w:color w:val="auto"/>
                <w:sz w:val="24"/>
                <w:szCs w:val="24"/>
                <w:shd w:val="clear" w:color="auto" w:fill="FFFFFF"/>
              </w:rPr>
              <w:br w:type="textWrapping"/>
            </w:r>
            <w:r>
              <w:rPr>
                <w:rFonts w:hint="eastAsia" w:asciiTheme="minorEastAsia" w:hAnsiTheme="minorEastAsia" w:eastAsiaTheme="minorEastAsia"/>
                <w:color w:val="auto"/>
                <w:sz w:val="24"/>
                <w:szCs w:val="24"/>
                <w:shd w:val="clear" w:color="auto" w:fill="FFFFFF"/>
              </w:rPr>
              <w:t>（粉剂，纯度</w:t>
            </w:r>
            <w:r>
              <w:rPr>
                <w:rFonts w:hint="eastAsia" w:cs="仿宋" w:asciiTheme="minorEastAsia" w:hAnsiTheme="minorEastAsia" w:eastAsiaTheme="minorEastAsia"/>
                <w:color w:val="auto"/>
                <w:sz w:val="24"/>
                <w:szCs w:val="24"/>
                <w:shd w:val="clear" w:color="auto" w:fill="FFFFFF"/>
              </w:rPr>
              <w:t>≥</w:t>
            </w:r>
            <w:r>
              <w:rPr>
                <w:rFonts w:hint="eastAsia" w:asciiTheme="minorEastAsia" w:hAnsiTheme="minorEastAsia" w:eastAsiaTheme="minorEastAsia"/>
                <w:color w:val="auto"/>
                <w:sz w:val="24"/>
                <w:szCs w:val="24"/>
                <w:shd w:val="clear" w:color="auto" w:fill="FFFFFF"/>
              </w:rPr>
              <w:t>99%）</w:t>
            </w:r>
          </w:p>
        </w:tc>
        <w:tc>
          <w:tcPr>
            <w:tcW w:w="2410" w:type="dxa"/>
            <w:tcBorders>
              <w:top w:val="single" w:color="auto" w:sz="4" w:space="0"/>
              <w:left w:val="single" w:color="auto" w:sz="4" w:space="0"/>
              <w:bottom w:val="single" w:color="auto" w:sz="4" w:space="0"/>
              <w:right w:val="single" w:color="auto" w:sz="4" w:space="0"/>
            </w:tcBorders>
            <w:vAlign w:val="center"/>
          </w:tcPr>
          <w:p w14:paraId="151CF0E2">
            <w:pPr>
              <w:keepNext w:val="0"/>
              <w:keepLines w:val="0"/>
              <w:pageBreakBefore w:val="0"/>
              <w:widowControl/>
              <w:tabs>
                <w:tab w:val="left" w:pos="420"/>
              </w:tabs>
              <w:kinsoku/>
              <w:wordWrap/>
              <w:overflowPunct/>
              <w:topLinePunct w:val="0"/>
              <w:autoSpaceDE/>
              <w:autoSpaceDN/>
              <w:bidi w:val="0"/>
              <w:snapToGrid w:val="0"/>
              <w:spacing w:line="240" w:lineRule="auto"/>
              <w:jc w:val="center"/>
              <w:textAlignment w:val="baseline"/>
              <w:rPr>
                <w:rFonts w:asciiTheme="minorEastAsia" w:hAnsiTheme="minorEastAsia" w:eastAsiaTheme="minorEastAsia"/>
                <w:color w:val="auto"/>
                <w:sz w:val="24"/>
                <w:szCs w:val="24"/>
                <w:shd w:val="clear" w:color="auto" w:fill="FFFFFF"/>
              </w:rPr>
            </w:pPr>
            <w:r>
              <w:rPr>
                <w:rFonts w:hint="eastAsia" w:asciiTheme="minorEastAsia" w:hAnsiTheme="minorEastAsia" w:eastAsiaTheme="minorEastAsia"/>
                <w:color w:val="auto"/>
                <w:sz w:val="24"/>
                <w:szCs w:val="24"/>
                <w:shd w:val="clear" w:color="auto" w:fill="FFFFFF"/>
              </w:rPr>
              <w:t>干热风</w:t>
            </w:r>
          </w:p>
        </w:tc>
        <w:tc>
          <w:tcPr>
            <w:tcW w:w="1498" w:type="dxa"/>
            <w:tcBorders>
              <w:top w:val="single" w:color="auto" w:sz="4" w:space="0"/>
              <w:left w:val="single" w:color="auto" w:sz="4" w:space="0"/>
              <w:bottom w:val="single" w:color="auto" w:sz="4" w:space="0"/>
              <w:right w:val="single" w:color="auto" w:sz="4" w:space="0"/>
            </w:tcBorders>
            <w:vAlign w:val="center"/>
          </w:tcPr>
          <w:p w14:paraId="773E93F9">
            <w:pPr>
              <w:keepNext w:val="0"/>
              <w:keepLines w:val="0"/>
              <w:pageBreakBefore w:val="0"/>
              <w:widowControl/>
              <w:tabs>
                <w:tab w:val="left" w:pos="420"/>
              </w:tabs>
              <w:kinsoku/>
              <w:wordWrap/>
              <w:overflowPunct/>
              <w:topLinePunct w:val="0"/>
              <w:autoSpaceDE/>
              <w:autoSpaceDN/>
              <w:bidi w:val="0"/>
              <w:snapToGrid w:val="0"/>
              <w:spacing w:line="240" w:lineRule="auto"/>
              <w:jc w:val="center"/>
              <w:textAlignment w:val="baseline"/>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50g</w:t>
            </w:r>
          </w:p>
        </w:tc>
      </w:tr>
      <w:tr w14:paraId="1B08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51F7A2A7">
            <w:pPr>
              <w:keepNext w:val="0"/>
              <w:keepLines w:val="0"/>
              <w:pageBreakBefore w:val="0"/>
              <w:widowControl/>
              <w:tabs>
                <w:tab w:val="left" w:pos="420"/>
              </w:tabs>
              <w:kinsoku/>
              <w:wordWrap/>
              <w:overflowPunct/>
              <w:topLinePunct w:val="0"/>
              <w:autoSpaceDE/>
              <w:autoSpaceDN/>
              <w:bidi w:val="0"/>
              <w:spacing w:line="240" w:lineRule="auto"/>
              <w:jc w:val="center"/>
              <w:textAlignment w:val="baseline"/>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6</w:t>
            </w:r>
          </w:p>
        </w:tc>
        <w:tc>
          <w:tcPr>
            <w:tcW w:w="4207" w:type="dxa"/>
            <w:tcBorders>
              <w:top w:val="single" w:color="auto" w:sz="4" w:space="0"/>
              <w:left w:val="single" w:color="auto" w:sz="4" w:space="0"/>
              <w:bottom w:val="single" w:color="auto" w:sz="4" w:space="0"/>
              <w:right w:val="single" w:color="auto" w:sz="4" w:space="0"/>
            </w:tcBorders>
            <w:vAlign w:val="center"/>
          </w:tcPr>
          <w:p w14:paraId="786E804C">
            <w:pPr>
              <w:keepNext w:val="0"/>
              <w:keepLines w:val="0"/>
              <w:pageBreakBefore w:val="0"/>
              <w:widowControl/>
              <w:tabs>
                <w:tab w:val="left" w:pos="420"/>
              </w:tabs>
              <w:kinsoku/>
              <w:wordWrap/>
              <w:overflowPunct/>
              <w:topLinePunct w:val="0"/>
              <w:autoSpaceDE/>
              <w:autoSpaceDN/>
              <w:bidi w:val="0"/>
              <w:snapToGrid w:val="0"/>
              <w:spacing w:line="360" w:lineRule="auto"/>
              <w:jc w:val="center"/>
              <w:textAlignment w:val="baseline"/>
              <w:rPr>
                <w:rFonts w:asciiTheme="minorEastAsia" w:hAnsiTheme="minorEastAsia" w:eastAsiaTheme="minorEastAsia"/>
                <w:color w:val="auto"/>
                <w:sz w:val="24"/>
                <w:szCs w:val="24"/>
                <w:shd w:val="clear" w:color="auto" w:fill="FFFFFF"/>
              </w:rPr>
            </w:pPr>
            <w:r>
              <w:rPr>
                <w:rFonts w:hint="eastAsia" w:asciiTheme="minorEastAsia" w:hAnsiTheme="minorEastAsia" w:eastAsiaTheme="minorEastAsia"/>
                <w:color w:val="auto"/>
                <w:sz w:val="24"/>
                <w:szCs w:val="24"/>
                <w:shd w:val="clear" w:color="auto" w:fill="FFFFFF"/>
              </w:rPr>
              <w:t>沉降型磺酸盐飞防助剂</w:t>
            </w:r>
          </w:p>
        </w:tc>
        <w:tc>
          <w:tcPr>
            <w:tcW w:w="2410" w:type="dxa"/>
            <w:tcBorders>
              <w:top w:val="single" w:color="auto" w:sz="4" w:space="0"/>
              <w:left w:val="single" w:color="auto" w:sz="4" w:space="0"/>
              <w:bottom w:val="single" w:color="auto" w:sz="4" w:space="0"/>
              <w:right w:val="single" w:color="auto" w:sz="4" w:space="0"/>
            </w:tcBorders>
            <w:vAlign w:val="center"/>
          </w:tcPr>
          <w:p w14:paraId="2AEBFA47">
            <w:pPr>
              <w:keepNext w:val="0"/>
              <w:keepLines w:val="0"/>
              <w:pageBreakBefore w:val="0"/>
              <w:widowControl/>
              <w:tabs>
                <w:tab w:val="left" w:pos="420"/>
              </w:tabs>
              <w:kinsoku/>
              <w:wordWrap/>
              <w:overflowPunct/>
              <w:topLinePunct w:val="0"/>
              <w:autoSpaceDE/>
              <w:autoSpaceDN/>
              <w:bidi w:val="0"/>
              <w:snapToGrid w:val="0"/>
              <w:spacing w:line="240" w:lineRule="auto"/>
              <w:jc w:val="center"/>
              <w:textAlignment w:val="baseline"/>
              <w:rPr>
                <w:rFonts w:asciiTheme="minorEastAsia" w:hAnsiTheme="minorEastAsia" w:eastAsiaTheme="minorEastAsia"/>
                <w:color w:val="auto"/>
                <w:sz w:val="24"/>
                <w:szCs w:val="24"/>
                <w:shd w:val="clear" w:color="auto" w:fill="FFFFFF"/>
              </w:rPr>
            </w:pPr>
            <w:r>
              <w:rPr>
                <w:rFonts w:hint="eastAsia" w:asciiTheme="minorEastAsia" w:hAnsiTheme="minorEastAsia" w:eastAsiaTheme="minorEastAsia"/>
                <w:color w:val="auto"/>
                <w:sz w:val="24"/>
                <w:szCs w:val="24"/>
                <w:shd w:val="clear" w:color="auto" w:fill="FFFFFF"/>
              </w:rPr>
              <w:t>增效</w:t>
            </w:r>
          </w:p>
        </w:tc>
        <w:tc>
          <w:tcPr>
            <w:tcW w:w="1498" w:type="dxa"/>
            <w:tcBorders>
              <w:top w:val="single" w:color="auto" w:sz="4" w:space="0"/>
              <w:left w:val="single" w:color="auto" w:sz="4" w:space="0"/>
              <w:bottom w:val="single" w:color="auto" w:sz="4" w:space="0"/>
              <w:right w:val="single" w:color="auto" w:sz="4" w:space="0"/>
            </w:tcBorders>
            <w:vAlign w:val="center"/>
          </w:tcPr>
          <w:p w14:paraId="48E2CAB2">
            <w:pPr>
              <w:keepNext w:val="0"/>
              <w:keepLines w:val="0"/>
              <w:pageBreakBefore w:val="0"/>
              <w:widowControl/>
              <w:tabs>
                <w:tab w:val="left" w:pos="420"/>
              </w:tabs>
              <w:kinsoku/>
              <w:wordWrap/>
              <w:overflowPunct/>
              <w:topLinePunct w:val="0"/>
              <w:autoSpaceDE/>
              <w:autoSpaceDN/>
              <w:bidi w:val="0"/>
              <w:snapToGrid w:val="0"/>
              <w:spacing w:line="240" w:lineRule="auto"/>
              <w:jc w:val="center"/>
              <w:textAlignment w:val="baseline"/>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10g</w:t>
            </w:r>
          </w:p>
        </w:tc>
      </w:tr>
      <w:tr w14:paraId="09B4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1CA857C5">
            <w:pPr>
              <w:keepNext w:val="0"/>
              <w:keepLines w:val="0"/>
              <w:pageBreakBefore w:val="0"/>
              <w:widowControl/>
              <w:tabs>
                <w:tab w:val="left" w:pos="420"/>
              </w:tabs>
              <w:kinsoku/>
              <w:wordWrap/>
              <w:overflowPunct/>
              <w:topLinePunct w:val="0"/>
              <w:autoSpaceDE/>
              <w:autoSpaceDN/>
              <w:bidi w:val="0"/>
              <w:spacing w:line="240" w:lineRule="auto"/>
              <w:jc w:val="center"/>
              <w:textAlignment w:val="baseline"/>
              <w:rPr>
                <w:rFonts w:cs="仿宋" w:asciiTheme="minorEastAsia" w:hAnsiTheme="minorEastAsia" w:eastAsiaTheme="minorEastAsia"/>
                <w:sz w:val="24"/>
                <w:szCs w:val="24"/>
                <w:shd w:val="clear" w:color="auto" w:fill="FFFFFF"/>
              </w:rPr>
            </w:pPr>
            <w:r>
              <w:rPr>
                <w:rFonts w:hint="eastAsia" w:cs="仿宋" w:asciiTheme="minorEastAsia" w:hAnsiTheme="minorEastAsia" w:eastAsiaTheme="minorEastAsia"/>
                <w:sz w:val="24"/>
                <w:szCs w:val="24"/>
                <w:shd w:val="clear" w:color="auto" w:fill="FFFFFF"/>
              </w:rPr>
              <w:t>小计</w:t>
            </w:r>
          </w:p>
        </w:tc>
        <w:tc>
          <w:tcPr>
            <w:tcW w:w="8115" w:type="dxa"/>
            <w:gridSpan w:val="3"/>
            <w:tcBorders>
              <w:top w:val="single" w:color="auto" w:sz="4" w:space="0"/>
              <w:left w:val="single" w:color="auto" w:sz="4" w:space="0"/>
              <w:bottom w:val="single" w:color="auto" w:sz="4" w:space="0"/>
              <w:right w:val="single" w:color="auto" w:sz="4" w:space="0"/>
            </w:tcBorders>
            <w:vAlign w:val="center"/>
          </w:tcPr>
          <w:p w14:paraId="11FA64E0">
            <w:pPr>
              <w:keepNext w:val="0"/>
              <w:keepLines w:val="0"/>
              <w:pageBreakBefore w:val="0"/>
              <w:widowControl/>
              <w:tabs>
                <w:tab w:val="left" w:pos="420"/>
              </w:tabs>
              <w:kinsoku/>
              <w:wordWrap/>
              <w:overflowPunct/>
              <w:topLinePunct w:val="0"/>
              <w:autoSpaceDE/>
              <w:autoSpaceDN/>
              <w:bidi w:val="0"/>
              <w:spacing w:line="240" w:lineRule="auto"/>
              <w:jc w:val="center"/>
              <w:textAlignment w:val="baseline"/>
              <w:rPr>
                <w:rFonts w:cs="仿宋"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农药</w:t>
            </w:r>
            <w:r>
              <w:rPr>
                <w:rFonts w:hint="eastAsia" w:asciiTheme="minorEastAsia" w:hAnsiTheme="minorEastAsia" w:eastAsiaTheme="minorEastAsia"/>
                <w:sz w:val="24"/>
                <w:szCs w:val="24"/>
                <w:shd w:val="clear" w:color="auto" w:fill="FFFFFF"/>
                <w:lang w:val="en-US" w:eastAsia="zh-CN"/>
              </w:rPr>
              <w:t>＋</w:t>
            </w:r>
            <w:r>
              <w:rPr>
                <w:rFonts w:hint="eastAsia" w:asciiTheme="minorEastAsia" w:hAnsiTheme="minorEastAsia" w:eastAsiaTheme="minorEastAsia"/>
                <w:sz w:val="24"/>
                <w:szCs w:val="24"/>
                <w:shd w:val="clear" w:color="auto" w:fill="FFFFFF"/>
              </w:rPr>
              <w:t>叶面肥</w:t>
            </w:r>
            <w:r>
              <w:rPr>
                <w:rFonts w:hint="eastAsia" w:asciiTheme="minorEastAsia" w:hAnsiTheme="minorEastAsia" w:eastAsiaTheme="minorEastAsia"/>
                <w:sz w:val="24"/>
                <w:szCs w:val="24"/>
                <w:shd w:val="clear" w:color="auto" w:fill="FFFFFF"/>
                <w:lang w:val="en-US" w:eastAsia="zh-CN"/>
              </w:rPr>
              <w:t>＋</w:t>
            </w:r>
            <w:r>
              <w:rPr>
                <w:rFonts w:hint="eastAsia" w:asciiTheme="minorEastAsia" w:hAnsiTheme="minorEastAsia" w:eastAsiaTheme="minorEastAsia"/>
                <w:sz w:val="24"/>
                <w:szCs w:val="24"/>
                <w:shd w:val="clear" w:color="auto" w:fill="FFFFFF"/>
              </w:rPr>
              <w:t>助剂：36</w:t>
            </w:r>
            <w:r>
              <w:rPr>
                <w:rFonts w:hint="eastAsia" w:asciiTheme="minorEastAsia" w:hAnsiTheme="minorEastAsia" w:eastAsiaTheme="minorEastAsia"/>
                <w:sz w:val="24"/>
                <w:szCs w:val="24"/>
                <w:shd w:val="clear" w:color="auto" w:fill="FFFFFF"/>
                <w:lang w:val="en-US" w:eastAsia="zh-CN"/>
              </w:rPr>
              <w:t>＋</w:t>
            </w:r>
            <w:r>
              <w:rPr>
                <w:rFonts w:hint="eastAsia" w:asciiTheme="minorEastAsia" w:hAnsiTheme="minorEastAsia" w:eastAsiaTheme="minorEastAsia"/>
                <w:sz w:val="24"/>
                <w:szCs w:val="24"/>
                <w:shd w:val="clear" w:color="auto" w:fill="FFFFFF"/>
              </w:rPr>
              <w:t>100</w:t>
            </w:r>
            <w:r>
              <w:rPr>
                <w:rFonts w:hint="eastAsia" w:asciiTheme="minorEastAsia" w:hAnsiTheme="minorEastAsia" w:eastAsiaTheme="minorEastAsia"/>
                <w:sz w:val="24"/>
                <w:szCs w:val="24"/>
                <w:shd w:val="clear" w:color="auto" w:fill="FFFFFF"/>
                <w:lang w:val="en-US" w:eastAsia="zh-CN"/>
              </w:rPr>
              <w:t>＋</w:t>
            </w:r>
            <w:r>
              <w:rPr>
                <w:rFonts w:hint="eastAsia" w:asciiTheme="minorEastAsia" w:hAnsiTheme="minorEastAsia" w:eastAsiaTheme="minorEastAsia"/>
                <w:sz w:val="24"/>
                <w:szCs w:val="24"/>
                <w:shd w:val="clear" w:color="auto" w:fill="FFFFFF"/>
              </w:rPr>
              <w:t>10mL（g）</w:t>
            </w:r>
          </w:p>
        </w:tc>
      </w:tr>
    </w:tbl>
    <w:p w14:paraId="4974CAFB">
      <w:pPr>
        <w:widowControl w:val="0"/>
        <w:snapToGrid w:val="0"/>
        <w:spacing w:beforeLines="50" w:line="360" w:lineRule="auto"/>
        <w:ind w:firstLine="482" w:firstLineChars="200"/>
        <w:jc w:val="left"/>
        <w:rPr>
          <w:rFonts w:ascii="宋体" w:hAnsi="宋体"/>
          <w:b/>
          <w:bCs/>
          <w:color w:val="auto"/>
          <w:sz w:val="24"/>
          <w:szCs w:val="24"/>
          <w:highlight w:val="yellow"/>
        </w:rPr>
      </w:pPr>
      <w:r>
        <w:rPr>
          <w:rFonts w:hint="eastAsia" w:ascii="宋体" w:hAnsi="宋体"/>
          <w:b/>
          <w:bCs/>
          <w:color w:val="auto"/>
          <w:sz w:val="24"/>
          <w:szCs w:val="24"/>
        </w:rPr>
        <w:t>2.上述带★项农药产品须于《响应文件》中提供有效的：农药生产许可证（或批准证）、农药登记证、产品标准，登记作物须包含小麦，并附中国农药信息网查询截图。上述带▲项肥料产品须于《响应文件》中提供有效的：肥料登记证，登记作物须包含小麦。</w:t>
      </w:r>
    </w:p>
    <w:p w14:paraId="3A19B8FE">
      <w:pPr>
        <w:widowControl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3.按照环保要求，作业产生的所有农药包装废弃物必须全部回收，不得污染农田环境。</w:t>
      </w:r>
    </w:p>
    <w:p w14:paraId="7191956B">
      <w:pPr>
        <w:widowControl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4.采购人有权对药肥产品监督抽检并封样备查，使用不合规、不合格产品的将予以处罚。</w:t>
      </w:r>
    </w:p>
    <w:p w14:paraId="27D28F17">
      <w:pPr>
        <w:widowControl w:val="0"/>
        <w:snapToGrid w:val="0"/>
        <w:spacing w:line="360" w:lineRule="auto"/>
        <w:ind w:firstLine="482" w:firstLineChars="200"/>
        <w:jc w:val="left"/>
        <w:rPr>
          <w:rFonts w:ascii="宋体" w:hAnsi="宋体"/>
          <w:b/>
          <w:bCs/>
          <w:color w:val="auto"/>
          <w:sz w:val="24"/>
          <w:szCs w:val="24"/>
        </w:rPr>
      </w:pPr>
      <w:r>
        <w:rPr>
          <w:rFonts w:hint="eastAsia" w:ascii="宋体" w:hAnsi="宋体"/>
          <w:b/>
          <w:bCs/>
          <w:color w:val="auto"/>
          <w:sz w:val="24"/>
          <w:szCs w:val="24"/>
        </w:rPr>
        <w:t>三、飞防要求</w:t>
      </w:r>
    </w:p>
    <w:p w14:paraId="602D4A7B">
      <w:pPr>
        <w:widowControl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1.作业：环境风力＜3级（风速＜3.4 米/秒），飞行高度为麦穗上部1.5～3.5米，飞行速度6～8米/秒，喷幅宽度4～9米，喷液量≥2.0升/亩（防治小麦赤霉病、白粉病喷液量≥2.0升/亩），均匀喷雾，忌漏喷重喷，尽量喷到地边。严格遵守安全生产规定，飞防作业时严禁村民聚集围观。</w:t>
      </w:r>
    </w:p>
    <w:p w14:paraId="2947B052">
      <w:pPr>
        <w:widowControl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2.时效：本项目飞防服务的时间在4月下旬至5月上旬，在小麦抽穗～扬花期及时开展喷防；喷药后4～6小时内遇雨，雨后应及时补喷。合同签订后7日历天完成飞防任务。</w:t>
      </w:r>
    </w:p>
    <w:p w14:paraId="17B8FDC9">
      <w:pPr>
        <w:widowControl w:val="0"/>
        <w:snapToGrid w:val="0"/>
        <w:spacing w:line="360" w:lineRule="auto"/>
        <w:ind w:firstLine="482" w:firstLineChars="200"/>
        <w:jc w:val="left"/>
        <w:rPr>
          <w:rFonts w:ascii="宋体" w:hAnsi="宋体"/>
          <w:b/>
          <w:bCs/>
          <w:color w:val="auto"/>
          <w:sz w:val="24"/>
          <w:szCs w:val="24"/>
        </w:rPr>
      </w:pPr>
      <w:r>
        <w:rPr>
          <w:rFonts w:hint="eastAsia" w:ascii="宋体" w:hAnsi="宋体"/>
          <w:b/>
          <w:bCs/>
          <w:color w:val="auto"/>
          <w:sz w:val="24"/>
          <w:szCs w:val="24"/>
        </w:rPr>
        <w:t>3.无人飞机：须为载重量30升</w:t>
      </w:r>
      <w:r>
        <w:rPr>
          <w:rFonts w:hint="eastAsia" w:ascii="宋体" w:hAnsi="宋体"/>
          <w:b/>
          <w:bCs/>
          <w:color w:val="auto"/>
          <w:sz w:val="24"/>
          <w:szCs w:val="24"/>
          <w:lang w:val="en-US" w:eastAsia="zh-CN"/>
        </w:rPr>
        <w:t>及</w:t>
      </w:r>
      <w:r>
        <w:rPr>
          <w:rFonts w:hint="eastAsia" w:ascii="宋体" w:hAnsi="宋体"/>
          <w:b/>
          <w:bCs/>
          <w:color w:val="auto"/>
          <w:sz w:val="24"/>
          <w:szCs w:val="24"/>
        </w:rPr>
        <w:t>以上的植保无人机，数量在15架及以上，《响应文件》中提供：购置发票或租赁合同（自产飞机提供成品入库单）、第三方检测机构出具的该型号检测报告。</w:t>
      </w:r>
    </w:p>
    <w:p w14:paraId="377A1895">
      <w:pPr>
        <w:widowControl w:val="0"/>
        <w:snapToGrid w:val="0"/>
        <w:spacing w:line="360" w:lineRule="auto"/>
        <w:ind w:firstLine="482" w:firstLineChars="200"/>
        <w:jc w:val="left"/>
        <w:rPr>
          <w:rFonts w:ascii="宋体" w:hAnsi="宋体"/>
          <w:b/>
          <w:bCs/>
          <w:color w:val="auto"/>
          <w:sz w:val="24"/>
          <w:szCs w:val="24"/>
        </w:rPr>
      </w:pPr>
      <w:r>
        <w:rPr>
          <w:rFonts w:hint="eastAsia" w:ascii="宋体" w:hAnsi="宋体"/>
          <w:b/>
          <w:bCs/>
          <w:color w:val="auto"/>
          <w:sz w:val="24"/>
          <w:szCs w:val="24"/>
        </w:rPr>
        <w:t>4.飞手：无人机操作员不少于15人，无人机操作员须经过培训和考核，取得操作证书，《响应文件》中提供：人员名单和相应操作证书。</w:t>
      </w:r>
    </w:p>
    <w:p w14:paraId="6D41C597">
      <w:pPr>
        <w:widowControl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5.作业监控：参与植保无人飞机，必须有作业监控平台，防治作业结束后，须向采购人提供以村为单位的作业轨迹图片、现场作业图片等影像资料。</w:t>
      </w:r>
    </w:p>
    <w:p w14:paraId="4FBBF179">
      <w:pPr>
        <w:widowControl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6.监督：严格按照航空植保服务作业要求，对作业不合格的植保无人飞机，及时做出警告、重新喷施、取消作业等管理，对在项目实施过程中弄虚作假的，将采取有效措施及时予以处理，并将出现问题的单位列入黑名单，取消今后参与的资格。</w:t>
      </w:r>
    </w:p>
    <w:p w14:paraId="019D9C66">
      <w:pPr>
        <w:widowControl w:val="0"/>
        <w:snapToGrid w:val="0"/>
        <w:spacing w:line="360" w:lineRule="auto"/>
        <w:ind w:firstLine="482" w:firstLineChars="200"/>
        <w:jc w:val="left"/>
        <w:rPr>
          <w:rFonts w:ascii="宋体" w:hAnsi="宋体"/>
          <w:b/>
          <w:bCs/>
          <w:color w:val="auto"/>
          <w:sz w:val="24"/>
          <w:szCs w:val="24"/>
        </w:rPr>
      </w:pPr>
      <w:r>
        <w:rPr>
          <w:rFonts w:hint="eastAsia" w:ascii="宋体" w:hAnsi="宋体"/>
          <w:b/>
          <w:bCs/>
          <w:color w:val="auto"/>
          <w:sz w:val="24"/>
          <w:szCs w:val="24"/>
        </w:rPr>
        <w:t>四、其他说明</w:t>
      </w:r>
    </w:p>
    <w:p w14:paraId="30821A09">
      <w:pPr>
        <w:widowControl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1.作业确认：实施本项目的乡（镇）办，要对作业面积逐一确认，本区域防治完成后，经所在地的村委会确认签字盖章，乡农办复核汇总，农办主任、主管副职签字，加盖乡（镇）办公章后，报送区农业农村局。</w:t>
      </w:r>
    </w:p>
    <w:p w14:paraId="2D6AFF57">
      <w:pPr>
        <w:widowControl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2.考核验收：本项目飞防作业期间和全部结束后，由区农业农村局组织有关专家，或邀请第三方团队，及时对飞防作业面积、作业质量和防控效果等进行抽检验收。</w:t>
      </w:r>
    </w:p>
    <w:p w14:paraId="64308367">
      <w:pPr>
        <w:widowControl w:val="0"/>
        <w:snapToGrid w:val="0"/>
        <w:spacing w:line="360" w:lineRule="auto"/>
        <w:ind w:firstLine="482" w:firstLineChars="200"/>
        <w:jc w:val="left"/>
        <w:rPr>
          <w:rFonts w:ascii="宋体" w:hAnsi="宋体"/>
          <w:b/>
          <w:bCs/>
          <w:color w:val="auto"/>
          <w:sz w:val="24"/>
          <w:szCs w:val="24"/>
        </w:rPr>
      </w:pPr>
      <w:r>
        <w:rPr>
          <w:rFonts w:hint="eastAsia" w:ascii="宋体" w:hAnsi="宋体"/>
          <w:b/>
          <w:bCs/>
          <w:color w:val="auto"/>
          <w:sz w:val="24"/>
          <w:szCs w:val="24"/>
        </w:rPr>
        <w:t>五、安阳市殷都区农业农村局2026年小麦“一喷三防”项目的中小企业划分标准所属行业为：农、林、牧、渔业。</w:t>
      </w:r>
    </w:p>
    <w:p w14:paraId="489B69B0">
      <w:pPr>
        <w:widowControl w:val="0"/>
        <w:snapToGrid w:val="0"/>
        <w:spacing w:line="360" w:lineRule="auto"/>
        <w:ind w:firstLine="482" w:firstLineChars="200"/>
        <w:jc w:val="left"/>
        <w:rPr>
          <w:rFonts w:hint="eastAsia" w:ascii="宋体" w:hAnsi="宋体" w:eastAsia="宋体" w:cs="Times New Roman"/>
          <w:b/>
          <w:bCs/>
          <w:color w:val="auto"/>
          <w:sz w:val="24"/>
          <w:szCs w:val="24"/>
          <w:lang w:val="en-US" w:eastAsia="zh-CN"/>
        </w:rPr>
      </w:pPr>
      <w:r>
        <w:rPr>
          <w:rFonts w:hint="eastAsia" w:ascii="宋体" w:hAnsi="宋体"/>
          <w:b/>
          <w:bCs/>
          <w:color w:val="auto"/>
          <w:sz w:val="24"/>
          <w:szCs w:val="24"/>
        </w:rPr>
        <w:t>提醒：投标人按照《谈判文件》中标明的服务项目的所属行业、按该行业所对应的中小企业划分标准，作为服务的承接商（供应商）是否属于中小企业的判断标准。投标人不应按照自身的行业属性作为中小企业的判断标准（应按《谈判文件》标明的所属行业进行判断）。</w:t>
      </w:r>
    </w:p>
    <w:p w14:paraId="315A4AAF">
      <w:pPr>
        <w:keepNext w:val="0"/>
        <w:keepLines w:val="0"/>
        <w:pageBreakBefore w:val="0"/>
        <w:widowControl w:val="0"/>
        <w:kinsoku/>
        <w:wordWrap/>
        <w:overflowPunct/>
        <w:topLinePunct w:val="0"/>
        <w:autoSpaceDE/>
        <w:autoSpaceDN/>
        <w:bidi w:val="0"/>
        <w:adjustRightInd/>
        <w:snapToGrid w:val="0"/>
        <w:spacing w:before="313" w:beforeLines="100" w:line="360" w:lineRule="auto"/>
        <w:ind w:firstLine="482" w:firstLineChars="200"/>
        <w:jc w:val="left"/>
        <w:textAlignment w:val="baseline"/>
        <w:rPr>
          <w:rFonts w:ascii="黑体" w:hAnsi="黑体" w:eastAsia="黑体" w:cs="Times New Roman"/>
          <w:b/>
          <w:sz w:val="24"/>
          <w:szCs w:val="24"/>
        </w:rPr>
      </w:pPr>
      <w:r>
        <w:rPr>
          <w:rFonts w:hint="eastAsia" w:ascii="黑体" w:hAnsi="黑体" w:eastAsia="黑体" w:cs="Times New Roman"/>
          <w:b/>
          <w:sz w:val="24"/>
          <w:szCs w:val="24"/>
        </w:rPr>
        <w:t>2.5</w:t>
      </w:r>
      <w:r>
        <w:rPr>
          <w:rFonts w:hint="eastAsia" w:ascii="黑体" w:hAnsi="黑体" w:eastAsia="黑体" w:cs="Times New Roman"/>
          <w:b/>
          <w:sz w:val="24"/>
          <w:szCs w:val="24"/>
          <w:lang w:val="en-US" w:eastAsia="zh-CN"/>
        </w:rPr>
        <w:t xml:space="preserve"> </w:t>
      </w:r>
      <w:r>
        <w:rPr>
          <w:rFonts w:hint="eastAsia" w:ascii="黑体" w:hAnsi="黑体" w:eastAsia="黑体" w:cs="Times New Roman"/>
          <w:b/>
          <w:sz w:val="24"/>
          <w:szCs w:val="24"/>
        </w:rPr>
        <w:t>安全</w:t>
      </w:r>
    </w:p>
    <w:p w14:paraId="60A2D924">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服务（及所涉货物材料设施）应符合国家、行业的各项安全标准，投标人对所投服务（及所涉货物材料设施）的安全性承担全部责任。服务期内不符合保障人身、财产安全的国家标准、行业标准的服务（及所涉货物材料设施），将依法承担民事及相应刑事责任。合同履行中的安全责任由成交供应商承担全部责任。</w:t>
      </w:r>
    </w:p>
    <w:p w14:paraId="44108A3B">
      <w:pPr>
        <w:widowControl w:val="0"/>
        <w:snapToGrid w:val="0"/>
        <w:spacing w:line="360" w:lineRule="auto"/>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 xml:space="preserve">2.6 </w:t>
      </w:r>
      <w:r>
        <w:rPr>
          <w:rFonts w:hint="eastAsia" w:ascii="黑体" w:hAnsi="黑体" w:eastAsia="黑体" w:cs="Times New Roman"/>
          <w:b/>
          <w:sz w:val="24"/>
          <w:szCs w:val="24"/>
          <w:lang w:eastAsia="zh-CN"/>
        </w:rPr>
        <w:t>《响应文件》</w:t>
      </w:r>
      <w:r>
        <w:rPr>
          <w:rFonts w:hint="eastAsia" w:ascii="黑体" w:hAnsi="黑体" w:eastAsia="黑体" w:cs="Times New Roman"/>
          <w:b/>
          <w:sz w:val="24"/>
          <w:szCs w:val="24"/>
        </w:rPr>
        <w:t>对“具体服务要求及标段（包）内容（范围）”的响应</w:t>
      </w:r>
    </w:p>
    <w:p w14:paraId="54808349">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“2.4</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具体服务要求及标段（包）内容（范围）”为采购需求的基础性要求，服务内容应当明确，服务所涉产品及技术参数应当明确并最终指向具体明确的产品。</w:t>
      </w:r>
      <w:r>
        <w:rPr>
          <w:rFonts w:hint="eastAsia" w:ascii="宋体" w:hAnsi="宋体" w:eastAsia="宋体" w:cs="Times New Roman"/>
          <w:color w:val="auto"/>
          <w:sz w:val="24"/>
          <w:szCs w:val="24"/>
          <w:lang w:eastAsia="zh-CN"/>
        </w:rPr>
        <w:t>《响应文件》</w:t>
      </w:r>
      <w:r>
        <w:rPr>
          <w:rFonts w:hint="eastAsia" w:ascii="宋体" w:hAnsi="宋体" w:eastAsia="宋体" w:cs="Times New Roman"/>
          <w:color w:val="auto"/>
          <w:sz w:val="24"/>
          <w:szCs w:val="24"/>
        </w:rPr>
        <w:t>技术参数抄袭</w:t>
      </w:r>
      <w:r>
        <w:rPr>
          <w:rFonts w:hint="eastAsia" w:ascii="宋体" w:hAnsi="宋体" w:eastAsia="宋体" w:cs="Times New Roman"/>
          <w:color w:val="auto"/>
          <w:sz w:val="24"/>
          <w:szCs w:val="24"/>
          <w:lang w:eastAsia="zh-CN"/>
        </w:rPr>
        <w:t>《谈判文件》</w:t>
      </w:r>
      <w:r>
        <w:rPr>
          <w:rFonts w:hint="eastAsia" w:ascii="宋体" w:hAnsi="宋体" w:eastAsia="宋体" w:cs="Times New Roman"/>
          <w:color w:val="auto"/>
          <w:sz w:val="24"/>
          <w:szCs w:val="24"/>
        </w:rPr>
        <w:t>“具体服务要求及标段（包）内容（范围）”，投标产品不明确的、或与投标产品不一致的，谈判小组有权按照实质性判断原则评定其为无效投标。</w:t>
      </w:r>
    </w:p>
    <w:p w14:paraId="36734663">
      <w:pPr>
        <w:widowControl w:val="0"/>
        <w:snapToGrid w:val="0"/>
        <w:spacing w:line="360" w:lineRule="auto"/>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2.7</w:t>
      </w:r>
      <w:r>
        <w:rPr>
          <w:rFonts w:hint="eastAsia" w:ascii="黑体" w:hAnsi="黑体" w:eastAsia="黑体" w:cs="Times New Roman"/>
          <w:b/>
          <w:sz w:val="24"/>
          <w:szCs w:val="24"/>
          <w:lang w:val="en-US" w:eastAsia="zh-CN"/>
        </w:rPr>
        <w:t xml:space="preserve"> </w:t>
      </w:r>
      <w:r>
        <w:rPr>
          <w:rFonts w:hint="eastAsia" w:ascii="黑体" w:hAnsi="黑体" w:eastAsia="黑体" w:cs="Times New Roman"/>
          <w:b/>
          <w:sz w:val="24"/>
          <w:szCs w:val="24"/>
        </w:rPr>
        <w:t>技术偏离</w:t>
      </w:r>
    </w:p>
    <w:p w14:paraId="305ACA06">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rPr>
        <w:t>2.7.1</w:t>
      </w:r>
      <w:r>
        <w:rPr>
          <w:rFonts w:hint="eastAsia" w:ascii="宋体" w:hAnsi="宋体" w:eastAsia="宋体" w:cs="Times New Roman"/>
          <w:b/>
          <w:bCs/>
          <w:color w:val="auto"/>
          <w:sz w:val="24"/>
          <w:szCs w:val="24"/>
          <w:lang w:val="en-US" w:eastAsia="zh-CN"/>
        </w:rPr>
        <w:t xml:space="preserve"> </w:t>
      </w:r>
      <w:r>
        <w:rPr>
          <w:rFonts w:hint="eastAsia" w:ascii="宋体" w:hAnsi="宋体" w:eastAsia="宋体" w:cs="Times New Roman"/>
          <w:b/>
          <w:bCs/>
          <w:color w:val="auto"/>
          <w:sz w:val="24"/>
          <w:szCs w:val="24"/>
        </w:rPr>
        <w:t>★不接受负偏差，低于“具体服务要求”的、为无效投标。</w:t>
      </w:r>
    </w:p>
    <w:p w14:paraId="68E8C863">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2.7.</w:t>
      </w:r>
      <w:r>
        <w:rPr>
          <w:rFonts w:hint="eastAsia" w:ascii="宋体" w:hAnsi="宋体" w:eastAsia="宋体" w:cs="Times New Roman"/>
          <w:color w:val="auto"/>
          <w:sz w:val="24"/>
          <w:szCs w:val="24"/>
          <w:lang w:val="en-US" w:eastAsia="zh-CN"/>
        </w:rPr>
        <w:t xml:space="preserve">2 </w:t>
      </w:r>
      <w:r>
        <w:rPr>
          <w:rFonts w:hint="eastAsia" w:ascii="宋体" w:hAnsi="宋体" w:eastAsia="宋体" w:cs="Times New Roman"/>
          <w:color w:val="auto"/>
          <w:sz w:val="24"/>
          <w:szCs w:val="24"/>
          <w:lang w:eastAsia="zh-CN"/>
        </w:rPr>
        <w:t>《响应文件》</w:t>
      </w:r>
      <w:r>
        <w:rPr>
          <w:rFonts w:hint="eastAsia" w:ascii="宋体" w:hAnsi="宋体" w:eastAsia="宋体" w:cs="Times New Roman"/>
          <w:color w:val="auto"/>
          <w:sz w:val="24"/>
          <w:szCs w:val="24"/>
        </w:rPr>
        <w:t>对技术偏差的描述要求：见第三章</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投标人须知</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3.7.3项。</w:t>
      </w:r>
    </w:p>
    <w:p w14:paraId="3E64FD02">
      <w:pPr>
        <w:widowControl w:val="0"/>
        <w:snapToGrid w:val="0"/>
        <w:spacing w:line="360" w:lineRule="auto"/>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2.</w:t>
      </w:r>
      <w:r>
        <w:rPr>
          <w:rFonts w:hint="eastAsia" w:ascii="黑体" w:hAnsi="黑体" w:eastAsia="黑体" w:cs="Times New Roman"/>
          <w:b/>
          <w:sz w:val="24"/>
          <w:szCs w:val="24"/>
          <w:lang w:val="en-US" w:eastAsia="zh-CN"/>
        </w:rPr>
        <w:t xml:space="preserve">8 </w:t>
      </w:r>
      <w:r>
        <w:rPr>
          <w:rFonts w:hint="eastAsia" w:ascii="黑体" w:hAnsi="黑体" w:eastAsia="黑体" w:cs="Times New Roman"/>
          <w:b/>
          <w:sz w:val="24"/>
          <w:szCs w:val="24"/>
        </w:rPr>
        <w:t>保险、所涉货物包装</w:t>
      </w:r>
    </w:p>
    <w:p w14:paraId="56F43C94">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2.9.1</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保险（如需）：</w:t>
      </w:r>
    </w:p>
    <w:p w14:paraId="59385724">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成交供应商</w:t>
      </w:r>
      <w:r>
        <w:rPr>
          <w:rFonts w:hint="eastAsia" w:ascii="宋体" w:hAnsi="宋体" w:eastAsia="宋体" w:cs="Times New Roman"/>
          <w:color w:val="auto"/>
          <w:sz w:val="24"/>
          <w:szCs w:val="24"/>
        </w:rPr>
        <w:t>应遵循国家相关保险的规定，依照法规规定，根据项目属性需要，办理货物设施等的财产保险、危险作业人员的工伤和意外伤害保险、设计和工程保险、第三方责任险，相关保险费用及相应责任由</w:t>
      </w:r>
      <w:r>
        <w:rPr>
          <w:rFonts w:hint="eastAsia" w:ascii="宋体" w:hAnsi="宋体" w:eastAsia="宋体" w:cs="Times New Roman"/>
          <w:color w:val="auto"/>
          <w:sz w:val="24"/>
          <w:szCs w:val="24"/>
          <w:lang w:eastAsia="zh-CN"/>
        </w:rPr>
        <w:t>成交供应商</w:t>
      </w:r>
      <w:r>
        <w:rPr>
          <w:rFonts w:hint="eastAsia" w:ascii="宋体" w:hAnsi="宋体" w:eastAsia="宋体" w:cs="Times New Roman"/>
          <w:color w:val="auto"/>
          <w:sz w:val="24"/>
          <w:szCs w:val="24"/>
        </w:rPr>
        <w:t>承担。</w:t>
      </w:r>
    </w:p>
    <w:p w14:paraId="001DDC09">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2.9.2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所涉货物包装：</w:t>
      </w:r>
    </w:p>
    <w:p w14:paraId="3C3CE12B">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成交供应商</w:t>
      </w:r>
      <w:r>
        <w:rPr>
          <w:rFonts w:hint="eastAsia" w:ascii="宋体" w:hAnsi="宋体" w:eastAsia="宋体" w:cs="Times New Roman"/>
          <w:color w:val="auto"/>
          <w:sz w:val="24"/>
          <w:szCs w:val="24"/>
        </w:rPr>
        <w:t>负责按国家相关标准进行货物包装，设备的包装均应有良好的防湿、防锈、防潮、防雨、防腐及防碰撞的措施，凡由于包装不良造成的损失和由此产生的费用均由</w:t>
      </w:r>
      <w:r>
        <w:rPr>
          <w:rFonts w:hint="eastAsia" w:ascii="宋体" w:hAnsi="宋体" w:eastAsia="宋体" w:cs="Times New Roman"/>
          <w:color w:val="auto"/>
          <w:sz w:val="24"/>
          <w:szCs w:val="24"/>
          <w:lang w:eastAsia="zh-CN"/>
        </w:rPr>
        <w:t>成交供应商</w:t>
      </w:r>
      <w:r>
        <w:rPr>
          <w:rFonts w:hint="eastAsia" w:ascii="宋体" w:hAnsi="宋体" w:eastAsia="宋体" w:cs="Times New Roman"/>
          <w:color w:val="auto"/>
          <w:sz w:val="24"/>
          <w:szCs w:val="24"/>
        </w:rPr>
        <w:t>承担。</w:t>
      </w:r>
    </w:p>
    <w:p w14:paraId="2B26BA4C">
      <w:pPr>
        <w:widowControl w:val="0"/>
        <w:snapToGrid w:val="0"/>
        <w:spacing w:line="360" w:lineRule="auto"/>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2.</w:t>
      </w:r>
      <w:r>
        <w:rPr>
          <w:rFonts w:hint="eastAsia" w:ascii="黑体" w:hAnsi="黑体" w:eastAsia="黑体" w:cs="Times New Roman"/>
          <w:b/>
          <w:sz w:val="24"/>
          <w:szCs w:val="24"/>
          <w:lang w:val="en-US" w:eastAsia="zh-CN"/>
        </w:rPr>
        <w:t>9</w:t>
      </w:r>
      <w:r>
        <w:rPr>
          <w:rFonts w:hint="eastAsia" w:ascii="黑体" w:hAnsi="黑体" w:eastAsia="黑体" w:cs="Times New Roman"/>
          <w:b/>
          <w:sz w:val="24"/>
          <w:szCs w:val="24"/>
        </w:rPr>
        <w:t xml:space="preserve"> 采购标的的验收标准</w:t>
      </w:r>
    </w:p>
    <w:p w14:paraId="19D6B524">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spacing w:val="36"/>
          <w:sz w:val="24"/>
          <w:szCs w:val="24"/>
        </w:rPr>
      </w:pPr>
      <w:r>
        <w:rPr>
          <w:rFonts w:hint="eastAsia" w:ascii="宋体" w:hAnsi="宋体" w:eastAsia="宋体" w:cs="Times New Roman"/>
          <w:color w:val="auto"/>
          <w:sz w:val="24"/>
          <w:szCs w:val="24"/>
          <w:lang w:val="zh-CN"/>
        </w:rPr>
        <w:t>见第三章“投标人须知”第8条“验收”条款。</w:t>
      </w:r>
      <w:r>
        <w:rPr>
          <w:rFonts w:ascii="黑体" w:hAnsi="黑体" w:eastAsia="黑体"/>
          <w:b/>
          <w:sz w:val="24"/>
          <w:szCs w:val="24"/>
        </w:rPr>
        <w:br w:type="page"/>
      </w:r>
    </w:p>
    <w:p w14:paraId="2ED7282F">
      <w:pPr>
        <w:widowControl w:val="0"/>
        <w:snapToGrid w:val="0"/>
        <w:spacing w:line="560" w:lineRule="exact"/>
        <w:jc w:val="center"/>
        <w:outlineLvl w:val="0"/>
        <w:rPr>
          <w:rFonts w:hint="eastAsia" w:ascii="Times New Roman" w:hAnsi="Times New Roman" w:eastAsia="黑体" w:cs="Times New Roman"/>
          <w:b/>
          <w:sz w:val="36"/>
          <w:szCs w:val="36"/>
        </w:rPr>
      </w:pPr>
      <w:bookmarkStart w:id="23" w:name="_Toc16308"/>
      <w:r>
        <w:rPr>
          <w:rFonts w:hint="eastAsia" w:ascii="Times New Roman" w:hAnsi="Times New Roman" w:eastAsia="黑体" w:cs="Times New Roman"/>
          <w:b/>
          <w:sz w:val="36"/>
          <w:szCs w:val="36"/>
          <w:lang w:val="en-US" w:eastAsia="zh-CN"/>
        </w:rPr>
        <w:t xml:space="preserve">第三章  </w:t>
      </w:r>
      <w:r>
        <w:rPr>
          <w:rFonts w:hint="eastAsia" w:ascii="Times New Roman" w:hAnsi="Times New Roman" w:eastAsia="黑体" w:cs="Times New Roman"/>
          <w:b/>
          <w:sz w:val="36"/>
          <w:szCs w:val="36"/>
        </w:rPr>
        <w:t>投标人须知</w:t>
      </w:r>
      <w:bookmarkEnd w:id="23"/>
    </w:p>
    <w:p w14:paraId="3FF64BF2">
      <w:pPr>
        <w:keepNext w:val="0"/>
        <w:keepLines w:val="0"/>
        <w:pageBreakBefore w:val="0"/>
        <w:widowControl w:val="0"/>
        <w:kinsoku/>
        <w:wordWrap/>
        <w:overflowPunct/>
        <w:topLinePunct w:val="0"/>
        <w:autoSpaceDE/>
        <w:autoSpaceDN/>
        <w:bidi w:val="0"/>
        <w:adjustRightInd/>
        <w:snapToGrid w:val="0"/>
        <w:spacing w:line="276" w:lineRule="auto"/>
        <w:jc w:val="center"/>
        <w:textAlignment w:val="baseline"/>
        <w:rPr>
          <w:rFonts w:hint="eastAsia" w:asciiTheme="minorEastAsia" w:hAnsiTheme="minorEastAsia" w:eastAsiaTheme="minorEastAsia" w:cstheme="minorEastAsia"/>
          <w:b/>
          <w:sz w:val="24"/>
          <w:szCs w:val="24"/>
        </w:rPr>
      </w:pPr>
    </w:p>
    <w:p w14:paraId="21E61C52">
      <w:pPr>
        <w:spacing w:line="360" w:lineRule="auto"/>
        <w:ind w:right="238"/>
        <w:jc w:val="left"/>
        <w:outlineLvl w:val="1"/>
        <w:rPr>
          <w:rFonts w:eastAsia="黑体"/>
          <w:b/>
          <w:color w:val="auto"/>
          <w:sz w:val="28"/>
          <w:szCs w:val="28"/>
        </w:rPr>
      </w:pPr>
      <w:bookmarkStart w:id="24" w:name="_Toc11435"/>
      <w:r>
        <w:rPr>
          <w:rFonts w:hint="eastAsia" w:eastAsia="黑体"/>
          <w:b/>
          <w:color w:val="auto"/>
          <w:sz w:val="28"/>
          <w:szCs w:val="28"/>
        </w:rPr>
        <w:t>投标人须知前附表</w:t>
      </w:r>
      <w:bookmarkEnd w:id="24"/>
    </w:p>
    <w:tbl>
      <w:tblPr>
        <w:tblStyle w:val="16"/>
        <w:tblW w:w="985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08"/>
        <w:gridCol w:w="923"/>
        <w:gridCol w:w="2505"/>
        <w:gridCol w:w="5820"/>
      </w:tblGrid>
      <w:tr w14:paraId="14708B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608" w:type="dxa"/>
            <w:tcBorders>
              <w:tl2br w:val="nil"/>
              <w:tr2bl w:val="nil"/>
            </w:tcBorders>
            <w:vAlign w:val="center"/>
          </w:tcPr>
          <w:p w14:paraId="4B4ABE22">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章节</w:t>
            </w:r>
          </w:p>
        </w:tc>
        <w:tc>
          <w:tcPr>
            <w:tcW w:w="923" w:type="dxa"/>
            <w:tcBorders>
              <w:tl2br w:val="nil"/>
              <w:tr2bl w:val="nil"/>
            </w:tcBorders>
            <w:vAlign w:val="center"/>
          </w:tcPr>
          <w:p w14:paraId="43001173">
            <w:pPr>
              <w:autoSpaceDE w:val="0"/>
              <w:autoSpaceDN w:val="0"/>
              <w:adjustRightInd w:val="0"/>
              <w:spacing w:line="240" w:lineRule="auto"/>
              <w:ind w:right="-126" w:rightChars="-60"/>
              <w:jc w:val="center"/>
              <w:rPr>
                <w:rFonts w:ascii="宋体" w:cs="楷体_GB2312"/>
                <w:b/>
                <w:bCs/>
                <w:color w:val="auto"/>
                <w:sz w:val="24"/>
                <w:lang w:val="zh-CN"/>
              </w:rPr>
            </w:pPr>
            <w:r>
              <w:rPr>
                <w:rFonts w:hint="eastAsia" w:ascii="宋体" w:hAnsi="宋体" w:cs="楷体_GB2312"/>
                <w:b/>
                <w:bCs/>
                <w:color w:val="auto"/>
                <w:sz w:val="24"/>
                <w:lang w:val="zh-CN"/>
              </w:rPr>
              <w:t>条款号</w:t>
            </w:r>
          </w:p>
        </w:tc>
        <w:tc>
          <w:tcPr>
            <w:tcW w:w="2505" w:type="dxa"/>
            <w:tcBorders>
              <w:tl2br w:val="nil"/>
              <w:tr2bl w:val="nil"/>
            </w:tcBorders>
            <w:vAlign w:val="center"/>
          </w:tcPr>
          <w:p w14:paraId="275C9CBE">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5820" w:type="dxa"/>
            <w:tcBorders>
              <w:tl2br w:val="nil"/>
              <w:tr2bl w:val="nil"/>
            </w:tcBorders>
            <w:vAlign w:val="center"/>
          </w:tcPr>
          <w:p w14:paraId="1E729D69">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14:paraId="255F8F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608" w:type="dxa"/>
            <w:vMerge w:val="restart"/>
            <w:tcBorders>
              <w:tl2br w:val="nil"/>
              <w:tr2bl w:val="nil"/>
            </w:tcBorders>
            <w:vAlign w:val="center"/>
          </w:tcPr>
          <w:p w14:paraId="06FA3E27">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第一章</w:t>
            </w:r>
          </w:p>
        </w:tc>
        <w:tc>
          <w:tcPr>
            <w:tcW w:w="923" w:type="dxa"/>
            <w:tcBorders>
              <w:tl2br w:val="nil"/>
              <w:tr2bl w:val="nil"/>
            </w:tcBorders>
            <w:vAlign w:val="center"/>
          </w:tcPr>
          <w:p w14:paraId="4335BB52">
            <w:pPr>
              <w:autoSpaceDE w:val="0"/>
              <w:autoSpaceDN w:val="0"/>
              <w:adjustRightInd w:val="0"/>
              <w:snapToGrid w:val="0"/>
              <w:spacing w:line="240" w:lineRule="auto"/>
              <w:jc w:val="center"/>
              <w:rPr>
                <w:rFonts w:ascii="宋体" w:hAnsi="宋体" w:eastAsia="宋体" w:cs="楷体_GB2312"/>
                <w:b/>
                <w:bCs/>
                <w:color w:val="auto"/>
                <w:szCs w:val="21"/>
              </w:rPr>
            </w:pPr>
            <w:r>
              <w:rPr>
                <w:rFonts w:ascii="宋体" w:hAnsi="宋体" w:eastAsia="宋体" w:cs="楷体_GB2312"/>
                <w:b/>
                <w:bCs/>
                <w:color w:val="auto"/>
                <w:szCs w:val="21"/>
              </w:rPr>
              <w:t>1.</w:t>
            </w:r>
            <w:r>
              <w:rPr>
                <w:rFonts w:hint="eastAsia" w:ascii="宋体" w:hAnsi="宋体" w:eastAsia="宋体" w:cs="楷体_GB2312"/>
                <w:b/>
                <w:bCs/>
                <w:color w:val="auto"/>
                <w:szCs w:val="21"/>
              </w:rPr>
              <w:t>2</w:t>
            </w:r>
          </w:p>
        </w:tc>
        <w:tc>
          <w:tcPr>
            <w:tcW w:w="2505" w:type="dxa"/>
            <w:tcBorders>
              <w:tl2br w:val="nil"/>
              <w:tr2bl w:val="nil"/>
            </w:tcBorders>
            <w:vAlign w:val="center"/>
          </w:tcPr>
          <w:p w14:paraId="56EB4DFB">
            <w:pPr>
              <w:autoSpaceDE w:val="0"/>
              <w:autoSpaceDN w:val="0"/>
              <w:adjustRightInd w:val="0"/>
              <w:snapToGrid w:val="0"/>
              <w:spacing w:line="240" w:lineRule="auto"/>
              <w:jc w:val="center"/>
              <w:rPr>
                <w:rFonts w:ascii="宋体" w:cs="楷体_GB2312"/>
                <w:color w:val="auto"/>
                <w:sz w:val="24"/>
                <w:lang w:val="zh-CN"/>
              </w:rPr>
            </w:pPr>
            <w:r>
              <w:rPr>
                <w:rFonts w:hint="eastAsia" w:ascii="宋体" w:hAnsi="宋体" w:cs="楷体_GB2312"/>
                <w:b/>
                <w:bCs/>
                <w:color w:val="auto"/>
                <w:sz w:val="24"/>
              </w:rPr>
              <w:t>采购项目名称</w:t>
            </w:r>
          </w:p>
        </w:tc>
        <w:tc>
          <w:tcPr>
            <w:tcW w:w="5820" w:type="dxa"/>
            <w:tcBorders>
              <w:tl2br w:val="nil"/>
              <w:tr2bl w:val="nil"/>
            </w:tcBorders>
            <w:vAlign w:val="center"/>
          </w:tcPr>
          <w:p w14:paraId="34EBDC0A">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w:t>
            </w:r>
            <w:r>
              <w:rPr>
                <w:rFonts w:hint="eastAsia"/>
                <w:color w:val="auto"/>
                <w:sz w:val="24"/>
                <w:szCs w:val="24"/>
                <w:lang w:val="en-US" w:eastAsia="zh-CN"/>
              </w:rPr>
              <w:t xml:space="preserve"> </w:t>
            </w:r>
            <w:r>
              <w:rPr>
                <w:rFonts w:hint="eastAsia"/>
                <w:color w:val="auto"/>
                <w:sz w:val="24"/>
                <w:szCs w:val="24"/>
              </w:rPr>
              <w:t>谈判公告”相应条款</w:t>
            </w:r>
          </w:p>
        </w:tc>
      </w:tr>
      <w:tr w14:paraId="44A2B7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1" w:hRule="atLeast"/>
          <w:jc w:val="center"/>
        </w:trPr>
        <w:tc>
          <w:tcPr>
            <w:tcW w:w="608" w:type="dxa"/>
            <w:vMerge w:val="continue"/>
            <w:tcBorders>
              <w:tl2br w:val="nil"/>
              <w:tr2bl w:val="nil"/>
            </w:tcBorders>
            <w:vAlign w:val="center"/>
          </w:tcPr>
          <w:p w14:paraId="7D254D89">
            <w:pPr>
              <w:autoSpaceDE w:val="0"/>
              <w:autoSpaceDN w:val="0"/>
              <w:adjustRightInd w:val="0"/>
              <w:snapToGrid w:val="0"/>
              <w:spacing w:line="240" w:lineRule="auto"/>
              <w:jc w:val="center"/>
              <w:rPr>
                <w:rFonts w:ascii="宋体" w:cs="楷体_GB2312"/>
                <w:b/>
                <w:bCs/>
                <w:color w:val="auto"/>
                <w:sz w:val="24"/>
              </w:rPr>
            </w:pPr>
          </w:p>
        </w:tc>
        <w:tc>
          <w:tcPr>
            <w:tcW w:w="923" w:type="dxa"/>
            <w:tcBorders>
              <w:tl2br w:val="nil"/>
              <w:tr2bl w:val="nil"/>
            </w:tcBorders>
            <w:vAlign w:val="center"/>
          </w:tcPr>
          <w:p w14:paraId="3ADA24EC">
            <w:pPr>
              <w:autoSpaceDE w:val="0"/>
              <w:autoSpaceDN w:val="0"/>
              <w:adjustRightInd w:val="0"/>
              <w:snapToGrid w:val="0"/>
              <w:spacing w:line="240" w:lineRule="auto"/>
              <w:jc w:val="center"/>
              <w:rPr>
                <w:rFonts w:ascii="宋体" w:hAnsi="宋体" w:eastAsia="宋体" w:cs="楷体_GB2312"/>
                <w:b/>
                <w:bCs/>
                <w:color w:val="auto"/>
                <w:szCs w:val="21"/>
              </w:rPr>
            </w:pPr>
            <w:r>
              <w:rPr>
                <w:rFonts w:ascii="宋体" w:hAnsi="宋体" w:eastAsia="宋体" w:cs="楷体_GB2312"/>
                <w:b/>
                <w:bCs/>
                <w:color w:val="auto"/>
                <w:szCs w:val="21"/>
              </w:rPr>
              <w:t>1.</w:t>
            </w:r>
            <w:r>
              <w:rPr>
                <w:rFonts w:hint="eastAsia" w:ascii="宋体" w:hAnsi="宋体" w:eastAsia="宋体" w:cs="楷体_GB2312"/>
                <w:b/>
                <w:bCs/>
                <w:color w:val="auto"/>
                <w:szCs w:val="21"/>
              </w:rPr>
              <w:t>1</w:t>
            </w:r>
          </w:p>
        </w:tc>
        <w:tc>
          <w:tcPr>
            <w:tcW w:w="2505" w:type="dxa"/>
            <w:tcBorders>
              <w:tl2br w:val="nil"/>
              <w:tr2bl w:val="nil"/>
            </w:tcBorders>
            <w:vAlign w:val="center"/>
          </w:tcPr>
          <w:p w14:paraId="771A995B">
            <w:pPr>
              <w:autoSpaceDE w:val="0"/>
              <w:autoSpaceDN w:val="0"/>
              <w:adjustRightInd w:val="0"/>
              <w:snapToGrid w:val="0"/>
              <w:spacing w:line="240" w:lineRule="auto"/>
              <w:jc w:val="center"/>
              <w:rPr>
                <w:rFonts w:hint="eastAsia" w:ascii="宋体" w:hAnsi="宋体" w:eastAsia="宋体" w:cs="楷体_GB2312"/>
                <w:b/>
                <w:bCs/>
                <w:color w:val="auto"/>
                <w:sz w:val="24"/>
              </w:rPr>
            </w:pPr>
            <w:r>
              <w:rPr>
                <w:rFonts w:hint="eastAsia" w:ascii="宋体" w:hAnsi="宋体" w:eastAsia="宋体" w:cs="楷体_GB2312"/>
                <w:b/>
                <w:bCs/>
                <w:color w:val="auto"/>
                <w:sz w:val="24"/>
              </w:rPr>
              <w:t>项目编号</w:t>
            </w:r>
          </w:p>
        </w:tc>
        <w:tc>
          <w:tcPr>
            <w:tcW w:w="5820" w:type="dxa"/>
            <w:tcBorders>
              <w:tl2br w:val="nil"/>
              <w:tr2bl w:val="nil"/>
            </w:tcBorders>
            <w:vAlign w:val="center"/>
          </w:tcPr>
          <w:p w14:paraId="6D1515CA">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w:t>
            </w:r>
            <w:r>
              <w:rPr>
                <w:rFonts w:hint="eastAsia"/>
                <w:color w:val="auto"/>
                <w:sz w:val="24"/>
                <w:szCs w:val="24"/>
                <w:lang w:val="en-US" w:eastAsia="zh-CN"/>
              </w:rPr>
              <w:t xml:space="preserve"> </w:t>
            </w:r>
            <w:r>
              <w:rPr>
                <w:rFonts w:hint="eastAsia"/>
                <w:color w:val="auto"/>
                <w:sz w:val="24"/>
                <w:szCs w:val="24"/>
              </w:rPr>
              <w:t>谈判公告”相应条款</w:t>
            </w:r>
          </w:p>
        </w:tc>
      </w:tr>
      <w:tr w14:paraId="05CD42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608" w:type="dxa"/>
            <w:vMerge w:val="continue"/>
            <w:tcBorders>
              <w:tl2br w:val="nil"/>
              <w:tr2bl w:val="nil"/>
            </w:tcBorders>
            <w:vAlign w:val="center"/>
          </w:tcPr>
          <w:p w14:paraId="3E953719">
            <w:pPr>
              <w:autoSpaceDE w:val="0"/>
              <w:autoSpaceDN w:val="0"/>
              <w:adjustRightInd w:val="0"/>
              <w:snapToGrid w:val="0"/>
              <w:spacing w:line="240" w:lineRule="auto"/>
              <w:jc w:val="center"/>
              <w:rPr>
                <w:rFonts w:ascii="宋体" w:cs="楷体_GB2312"/>
                <w:b/>
                <w:bCs/>
                <w:color w:val="auto"/>
                <w:sz w:val="24"/>
              </w:rPr>
            </w:pPr>
          </w:p>
        </w:tc>
        <w:tc>
          <w:tcPr>
            <w:tcW w:w="923" w:type="dxa"/>
            <w:tcBorders>
              <w:tl2br w:val="nil"/>
              <w:tr2bl w:val="nil"/>
            </w:tcBorders>
            <w:vAlign w:val="center"/>
          </w:tcPr>
          <w:p w14:paraId="501730EF">
            <w:pPr>
              <w:autoSpaceDE w:val="0"/>
              <w:autoSpaceDN w:val="0"/>
              <w:adjustRightInd w:val="0"/>
              <w:snapToGrid w:val="0"/>
              <w:spacing w:line="240" w:lineRule="auto"/>
              <w:jc w:val="center"/>
              <w:rPr>
                <w:rFonts w:ascii="宋体" w:hAnsi="宋体" w:eastAsia="宋体" w:cs="楷体_GB2312"/>
                <w:b/>
                <w:bCs/>
                <w:color w:val="auto"/>
                <w:szCs w:val="21"/>
              </w:rPr>
            </w:pPr>
            <w:r>
              <w:rPr>
                <w:rFonts w:ascii="宋体" w:hAnsi="宋体" w:eastAsia="宋体" w:cs="楷体_GB2312"/>
                <w:b/>
                <w:bCs/>
                <w:color w:val="auto"/>
                <w:szCs w:val="21"/>
              </w:rPr>
              <w:t>1.3</w:t>
            </w:r>
          </w:p>
        </w:tc>
        <w:tc>
          <w:tcPr>
            <w:tcW w:w="2505" w:type="dxa"/>
            <w:tcBorders>
              <w:tl2br w:val="nil"/>
              <w:tr2bl w:val="nil"/>
            </w:tcBorders>
            <w:vAlign w:val="center"/>
          </w:tcPr>
          <w:p w14:paraId="5B568C15">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采购方式</w:t>
            </w:r>
          </w:p>
        </w:tc>
        <w:tc>
          <w:tcPr>
            <w:tcW w:w="5820" w:type="dxa"/>
            <w:tcBorders>
              <w:tl2br w:val="nil"/>
              <w:tr2bl w:val="nil"/>
            </w:tcBorders>
            <w:vAlign w:val="center"/>
          </w:tcPr>
          <w:p w14:paraId="546D8063">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w:t>
            </w:r>
            <w:r>
              <w:rPr>
                <w:rFonts w:hint="eastAsia"/>
                <w:color w:val="auto"/>
                <w:sz w:val="24"/>
                <w:szCs w:val="24"/>
                <w:lang w:val="en-US" w:eastAsia="zh-CN"/>
              </w:rPr>
              <w:t xml:space="preserve"> </w:t>
            </w:r>
            <w:r>
              <w:rPr>
                <w:rFonts w:hint="eastAsia"/>
                <w:color w:val="auto"/>
                <w:sz w:val="24"/>
                <w:szCs w:val="24"/>
              </w:rPr>
              <w:t>谈判公告”相应条款</w:t>
            </w:r>
          </w:p>
        </w:tc>
      </w:tr>
      <w:tr w14:paraId="63DDC1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608" w:type="dxa"/>
            <w:vMerge w:val="continue"/>
            <w:tcBorders>
              <w:tl2br w:val="nil"/>
              <w:tr2bl w:val="nil"/>
            </w:tcBorders>
            <w:vAlign w:val="center"/>
          </w:tcPr>
          <w:p w14:paraId="774A25B9">
            <w:pPr>
              <w:autoSpaceDE w:val="0"/>
              <w:autoSpaceDN w:val="0"/>
              <w:adjustRightInd w:val="0"/>
              <w:snapToGrid w:val="0"/>
              <w:spacing w:line="240" w:lineRule="auto"/>
              <w:jc w:val="center"/>
              <w:rPr>
                <w:rFonts w:ascii="宋体" w:cs="楷体_GB2312"/>
                <w:b/>
                <w:bCs/>
                <w:color w:val="auto"/>
                <w:sz w:val="24"/>
                <w:lang w:val="zh-CN"/>
              </w:rPr>
            </w:pPr>
          </w:p>
        </w:tc>
        <w:tc>
          <w:tcPr>
            <w:tcW w:w="923" w:type="dxa"/>
            <w:tcBorders>
              <w:tl2br w:val="nil"/>
              <w:tr2bl w:val="nil"/>
            </w:tcBorders>
            <w:vAlign w:val="center"/>
          </w:tcPr>
          <w:p w14:paraId="7617C5C8">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1.</w:t>
            </w:r>
            <w:r>
              <w:rPr>
                <w:rFonts w:hint="eastAsia" w:ascii="宋体" w:hAnsi="宋体" w:eastAsia="宋体" w:cs="楷体_GB2312"/>
                <w:b/>
                <w:bCs/>
                <w:color w:val="auto"/>
                <w:szCs w:val="21"/>
                <w:lang w:val="zh-CN"/>
              </w:rPr>
              <w:t>4</w:t>
            </w:r>
          </w:p>
        </w:tc>
        <w:tc>
          <w:tcPr>
            <w:tcW w:w="2505" w:type="dxa"/>
            <w:tcBorders>
              <w:tl2br w:val="nil"/>
              <w:tr2bl w:val="nil"/>
            </w:tcBorders>
            <w:vAlign w:val="center"/>
          </w:tcPr>
          <w:p w14:paraId="4FE428EA">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预算金额</w:t>
            </w:r>
          </w:p>
          <w:p w14:paraId="15C8C595">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cs="楷体_GB2312"/>
                <w:b/>
                <w:bCs/>
                <w:color w:val="auto"/>
                <w:sz w:val="24"/>
                <w:lang w:val="zh-CN"/>
              </w:rPr>
              <w:t>（</w:t>
            </w:r>
            <w:r>
              <w:rPr>
                <w:rFonts w:hint="eastAsia" w:ascii="宋体" w:hAnsi="宋体" w:cs="楷体_GB2312"/>
                <w:b/>
                <w:bCs/>
                <w:color w:val="auto"/>
                <w:sz w:val="24"/>
                <w:lang w:val="zh-CN" w:eastAsia="zh-CN"/>
              </w:rPr>
              <w:t>综合单价最高限价</w:t>
            </w:r>
            <w:r>
              <w:rPr>
                <w:rFonts w:hint="eastAsia" w:ascii="宋体" w:hAnsi="宋体" w:cs="楷体_GB2312"/>
                <w:b/>
                <w:bCs/>
                <w:color w:val="auto"/>
                <w:sz w:val="24"/>
                <w:lang w:val="zh-CN"/>
              </w:rPr>
              <w:t>）</w:t>
            </w:r>
          </w:p>
        </w:tc>
        <w:tc>
          <w:tcPr>
            <w:tcW w:w="5820" w:type="dxa"/>
            <w:tcBorders>
              <w:tl2br w:val="nil"/>
              <w:tr2bl w:val="nil"/>
            </w:tcBorders>
            <w:vAlign w:val="center"/>
          </w:tcPr>
          <w:p w14:paraId="1FDD33A7">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w:t>
            </w:r>
            <w:r>
              <w:rPr>
                <w:rFonts w:hint="eastAsia"/>
                <w:color w:val="auto"/>
                <w:sz w:val="24"/>
                <w:szCs w:val="24"/>
                <w:lang w:val="en-US" w:eastAsia="zh-CN"/>
              </w:rPr>
              <w:t xml:space="preserve"> </w:t>
            </w:r>
            <w:r>
              <w:rPr>
                <w:rFonts w:hint="eastAsia"/>
                <w:color w:val="auto"/>
                <w:sz w:val="24"/>
                <w:szCs w:val="24"/>
              </w:rPr>
              <w:t>谈判公告”相应条款。</w:t>
            </w:r>
            <w:r>
              <w:rPr>
                <w:rFonts w:hint="eastAsia" w:ascii="宋体" w:hAnsi="宋体" w:cs="楷体_GB2312"/>
                <w:b/>
                <w:color w:val="auto"/>
                <w:sz w:val="24"/>
                <w:lang w:val="zh-CN"/>
              </w:rPr>
              <w:t>注：投标人的投标报价未超过</w:t>
            </w:r>
            <w:r>
              <w:rPr>
                <w:rFonts w:hint="eastAsia" w:ascii="宋体" w:hAnsi="宋体" w:cs="楷体_GB2312"/>
                <w:b/>
                <w:color w:val="auto"/>
                <w:sz w:val="24"/>
                <w:lang w:val="zh-CN" w:eastAsia="zh-CN"/>
              </w:rPr>
              <w:t>综合单价最高限价</w:t>
            </w:r>
            <w:r>
              <w:rPr>
                <w:rFonts w:hint="eastAsia" w:ascii="宋体" w:hAnsi="宋体" w:cs="楷体_GB2312"/>
                <w:b/>
                <w:color w:val="auto"/>
                <w:sz w:val="24"/>
                <w:lang w:val="zh-CN"/>
              </w:rPr>
              <w:t>的不足三家时，该项目（标段&lt;包&gt;）终止。</w:t>
            </w:r>
          </w:p>
        </w:tc>
      </w:tr>
      <w:tr w14:paraId="11ED53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08" w:type="dxa"/>
            <w:vMerge w:val="continue"/>
            <w:tcBorders>
              <w:tl2br w:val="nil"/>
              <w:tr2bl w:val="nil"/>
            </w:tcBorders>
            <w:vAlign w:val="center"/>
          </w:tcPr>
          <w:p w14:paraId="41C2E915">
            <w:pPr>
              <w:autoSpaceDE w:val="0"/>
              <w:autoSpaceDN w:val="0"/>
              <w:adjustRightInd w:val="0"/>
              <w:snapToGrid w:val="0"/>
              <w:spacing w:line="240" w:lineRule="auto"/>
              <w:jc w:val="center"/>
              <w:rPr>
                <w:rFonts w:ascii="宋体" w:cs="楷体_GB2312"/>
                <w:b/>
                <w:bCs/>
                <w:color w:val="auto"/>
                <w:sz w:val="24"/>
                <w:lang w:val="zh-CN"/>
              </w:rPr>
            </w:pPr>
          </w:p>
        </w:tc>
        <w:tc>
          <w:tcPr>
            <w:tcW w:w="923" w:type="dxa"/>
            <w:tcBorders>
              <w:tl2br w:val="nil"/>
              <w:tr2bl w:val="nil"/>
            </w:tcBorders>
            <w:vAlign w:val="center"/>
          </w:tcPr>
          <w:p w14:paraId="16E141F0">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2</w:t>
            </w:r>
          </w:p>
        </w:tc>
        <w:tc>
          <w:tcPr>
            <w:tcW w:w="2505" w:type="dxa"/>
            <w:tcBorders>
              <w:tl2br w:val="nil"/>
              <w:tr2bl w:val="nil"/>
            </w:tcBorders>
            <w:vAlign w:val="center"/>
          </w:tcPr>
          <w:p w14:paraId="27DF2ADA">
            <w:pPr>
              <w:autoSpaceDE w:val="0"/>
              <w:autoSpaceDN w:val="0"/>
              <w:adjustRightInd w:val="0"/>
              <w:snapToGrid w:val="0"/>
              <w:spacing w:line="240" w:lineRule="auto"/>
              <w:jc w:val="center"/>
              <w:rPr>
                <w:rFonts w:hint="eastAsia" w:ascii="宋体" w:hAnsi="宋体" w:eastAsia="宋体" w:cs="楷体_GB2312"/>
                <w:b/>
                <w:bCs/>
                <w:color w:val="auto"/>
                <w:sz w:val="24"/>
              </w:rPr>
            </w:pPr>
            <w:r>
              <w:rPr>
                <w:rFonts w:hint="eastAsia" w:ascii="宋体" w:hAnsi="宋体" w:eastAsia="宋体" w:cs="楷体_GB2312"/>
                <w:b/>
                <w:bCs/>
                <w:color w:val="auto"/>
                <w:sz w:val="24"/>
              </w:rPr>
              <w:t>申请人的资格要求及相关证明材料要求</w:t>
            </w:r>
          </w:p>
        </w:tc>
        <w:tc>
          <w:tcPr>
            <w:tcW w:w="5820" w:type="dxa"/>
            <w:tcBorders>
              <w:tl2br w:val="nil"/>
              <w:tr2bl w:val="nil"/>
            </w:tcBorders>
            <w:vAlign w:val="center"/>
          </w:tcPr>
          <w:p w14:paraId="4FDACF94">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w:t>
            </w:r>
            <w:r>
              <w:rPr>
                <w:rFonts w:hint="eastAsia"/>
                <w:color w:val="auto"/>
                <w:sz w:val="24"/>
                <w:szCs w:val="24"/>
                <w:lang w:val="en-US" w:eastAsia="zh-CN"/>
              </w:rPr>
              <w:t xml:space="preserve"> </w:t>
            </w:r>
            <w:r>
              <w:rPr>
                <w:rFonts w:hint="eastAsia"/>
                <w:color w:val="auto"/>
                <w:sz w:val="24"/>
                <w:szCs w:val="24"/>
              </w:rPr>
              <w:t>谈判公告”相应条款</w:t>
            </w:r>
          </w:p>
        </w:tc>
      </w:tr>
      <w:tr w14:paraId="0159A8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08" w:type="dxa"/>
            <w:vMerge w:val="continue"/>
            <w:tcBorders>
              <w:tl2br w:val="nil"/>
              <w:tr2bl w:val="nil"/>
            </w:tcBorders>
            <w:vAlign w:val="center"/>
          </w:tcPr>
          <w:p w14:paraId="63835085">
            <w:pPr>
              <w:autoSpaceDE w:val="0"/>
              <w:autoSpaceDN w:val="0"/>
              <w:adjustRightInd w:val="0"/>
              <w:snapToGrid w:val="0"/>
              <w:spacing w:line="240" w:lineRule="auto"/>
              <w:jc w:val="center"/>
              <w:rPr>
                <w:rFonts w:ascii="宋体" w:cs="楷体_GB2312"/>
                <w:b/>
                <w:bCs/>
                <w:color w:val="auto"/>
                <w:sz w:val="24"/>
                <w:lang w:val="zh-CN"/>
              </w:rPr>
            </w:pPr>
          </w:p>
        </w:tc>
        <w:tc>
          <w:tcPr>
            <w:tcW w:w="923" w:type="dxa"/>
            <w:tcBorders>
              <w:tl2br w:val="nil"/>
              <w:tr2bl w:val="nil"/>
            </w:tcBorders>
            <w:vAlign w:val="center"/>
          </w:tcPr>
          <w:p w14:paraId="56000D91">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hint="eastAsia" w:ascii="宋体" w:hAnsi="宋体" w:eastAsia="宋体" w:cs="楷体_GB2312"/>
                <w:b/>
                <w:bCs/>
                <w:color w:val="auto"/>
                <w:szCs w:val="21"/>
                <w:lang w:val="zh-CN"/>
              </w:rPr>
              <w:t>8.1</w:t>
            </w:r>
          </w:p>
        </w:tc>
        <w:tc>
          <w:tcPr>
            <w:tcW w:w="2505" w:type="dxa"/>
            <w:tcBorders>
              <w:tl2br w:val="nil"/>
              <w:tr2bl w:val="nil"/>
            </w:tcBorders>
            <w:vAlign w:val="center"/>
          </w:tcPr>
          <w:p w14:paraId="565B4554">
            <w:pPr>
              <w:autoSpaceDE w:val="0"/>
              <w:autoSpaceDN w:val="0"/>
              <w:adjustRightInd w:val="0"/>
              <w:snapToGrid w:val="0"/>
              <w:spacing w:line="240" w:lineRule="auto"/>
              <w:jc w:val="center"/>
              <w:rPr>
                <w:rFonts w:hint="eastAsia" w:ascii="宋体" w:hAnsi="宋体" w:eastAsia="宋体" w:cs="楷体_GB2312"/>
                <w:b/>
                <w:bCs/>
                <w:color w:val="auto"/>
                <w:sz w:val="24"/>
              </w:rPr>
            </w:pPr>
            <w:r>
              <w:rPr>
                <w:rFonts w:hint="eastAsia" w:ascii="宋体" w:hAnsi="宋体" w:eastAsia="宋体" w:cs="楷体_GB2312"/>
                <w:b/>
                <w:bCs/>
                <w:color w:val="auto"/>
                <w:sz w:val="24"/>
              </w:rPr>
              <w:t>采购人</w:t>
            </w:r>
          </w:p>
        </w:tc>
        <w:tc>
          <w:tcPr>
            <w:tcW w:w="5820" w:type="dxa"/>
            <w:tcBorders>
              <w:tl2br w:val="nil"/>
              <w:tr2bl w:val="nil"/>
            </w:tcBorders>
            <w:vAlign w:val="center"/>
          </w:tcPr>
          <w:p w14:paraId="35B65366">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w:t>
            </w:r>
            <w:r>
              <w:rPr>
                <w:rFonts w:hint="eastAsia"/>
                <w:color w:val="auto"/>
                <w:sz w:val="24"/>
                <w:szCs w:val="24"/>
                <w:lang w:val="en-US" w:eastAsia="zh-CN"/>
              </w:rPr>
              <w:t xml:space="preserve"> </w:t>
            </w:r>
            <w:r>
              <w:rPr>
                <w:rFonts w:hint="eastAsia"/>
                <w:color w:val="auto"/>
                <w:sz w:val="24"/>
                <w:szCs w:val="24"/>
              </w:rPr>
              <w:t>谈判公告”相应条款</w:t>
            </w:r>
          </w:p>
        </w:tc>
      </w:tr>
      <w:tr w14:paraId="4F1DB9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08" w:type="dxa"/>
            <w:vMerge w:val="continue"/>
            <w:tcBorders>
              <w:tl2br w:val="nil"/>
              <w:tr2bl w:val="nil"/>
            </w:tcBorders>
            <w:vAlign w:val="center"/>
          </w:tcPr>
          <w:p w14:paraId="7742D74C">
            <w:pPr>
              <w:autoSpaceDE w:val="0"/>
              <w:autoSpaceDN w:val="0"/>
              <w:adjustRightInd w:val="0"/>
              <w:snapToGrid w:val="0"/>
              <w:spacing w:line="240" w:lineRule="auto"/>
              <w:jc w:val="center"/>
              <w:rPr>
                <w:rFonts w:ascii="宋体" w:cs="楷体_GB2312"/>
                <w:b/>
                <w:bCs/>
                <w:color w:val="auto"/>
                <w:sz w:val="24"/>
                <w:lang w:val="zh-CN"/>
              </w:rPr>
            </w:pPr>
          </w:p>
        </w:tc>
        <w:tc>
          <w:tcPr>
            <w:tcW w:w="923" w:type="dxa"/>
            <w:tcBorders>
              <w:tl2br w:val="nil"/>
              <w:tr2bl w:val="nil"/>
            </w:tcBorders>
            <w:vAlign w:val="center"/>
          </w:tcPr>
          <w:p w14:paraId="60D62992">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hint="eastAsia" w:ascii="宋体" w:hAnsi="宋体" w:eastAsia="宋体" w:cs="楷体_GB2312"/>
                <w:b/>
                <w:bCs/>
                <w:color w:val="auto"/>
                <w:szCs w:val="21"/>
                <w:lang w:val="zh-CN"/>
              </w:rPr>
              <w:t>8.2</w:t>
            </w:r>
          </w:p>
        </w:tc>
        <w:tc>
          <w:tcPr>
            <w:tcW w:w="2505" w:type="dxa"/>
            <w:tcBorders>
              <w:tl2br w:val="nil"/>
              <w:tr2bl w:val="nil"/>
            </w:tcBorders>
            <w:vAlign w:val="center"/>
          </w:tcPr>
          <w:p w14:paraId="70575118">
            <w:pPr>
              <w:autoSpaceDE w:val="0"/>
              <w:autoSpaceDN w:val="0"/>
              <w:adjustRightInd w:val="0"/>
              <w:snapToGrid w:val="0"/>
              <w:spacing w:line="240" w:lineRule="auto"/>
              <w:jc w:val="center"/>
              <w:rPr>
                <w:rFonts w:hint="eastAsia" w:ascii="宋体" w:hAnsi="宋体" w:eastAsia="宋体" w:cs="楷体_GB2312"/>
                <w:b/>
                <w:bCs/>
                <w:color w:val="auto"/>
                <w:sz w:val="24"/>
              </w:rPr>
            </w:pPr>
            <w:r>
              <w:rPr>
                <w:rFonts w:hint="eastAsia" w:ascii="宋体" w:hAnsi="宋体" w:eastAsia="宋体" w:cs="楷体_GB2312"/>
                <w:b/>
                <w:bCs/>
                <w:color w:val="auto"/>
                <w:sz w:val="24"/>
              </w:rPr>
              <w:t>采购代理机构</w:t>
            </w:r>
          </w:p>
        </w:tc>
        <w:tc>
          <w:tcPr>
            <w:tcW w:w="5820" w:type="dxa"/>
            <w:tcBorders>
              <w:tl2br w:val="nil"/>
              <w:tr2bl w:val="nil"/>
            </w:tcBorders>
            <w:vAlign w:val="center"/>
          </w:tcPr>
          <w:p w14:paraId="4D6115C5">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w:t>
            </w:r>
            <w:r>
              <w:rPr>
                <w:rFonts w:hint="eastAsia"/>
                <w:color w:val="auto"/>
                <w:sz w:val="24"/>
                <w:szCs w:val="24"/>
                <w:lang w:val="en-US" w:eastAsia="zh-CN"/>
              </w:rPr>
              <w:t xml:space="preserve"> </w:t>
            </w:r>
            <w:r>
              <w:rPr>
                <w:rFonts w:hint="eastAsia"/>
                <w:color w:val="auto"/>
                <w:sz w:val="24"/>
                <w:szCs w:val="24"/>
              </w:rPr>
              <w:t>谈判公告”相应条款</w:t>
            </w:r>
          </w:p>
        </w:tc>
      </w:tr>
      <w:tr w14:paraId="03236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08" w:type="dxa"/>
            <w:vMerge w:val="restart"/>
            <w:tcBorders>
              <w:tl2br w:val="nil"/>
              <w:tr2bl w:val="nil"/>
            </w:tcBorders>
            <w:vAlign w:val="center"/>
          </w:tcPr>
          <w:p w14:paraId="5DBA42BD">
            <w:pPr>
              <w:autoSpaceDE w:val="0"/>
              <w:autoSpaceDN w:val="0"/>
              <w:adjustRightInd w:val="0"/>
              <w:snapToGrid w:val="0"/>
              <w:spacing w:line="240" w:lineRule="auto"/>
              <w:jc w:val="center"/>
              <w:rPr>
                <w:rFonts w:ascii="宋体" w:cs="楷体_GB2312"/>
                <w:b/>
                <w:bCs/>
                <w:sz w:val="24"/>
                <w:lang w:val="zh-CN"/>
              </w:rPr>
            </w:pPr>
            <w:r>
              <w:rPr>
                <w:rFonts w:hint="eastAsia" w:ascii="宋体" w:hAnsi="宋体" w:cs="楷体_GB2312"/>
                <w:b/>
                <w:bCs/>
                <w:sz w:val="24"/>
                <w:lang w:val="zh-CN"/>
              </w:rPr>
              <w:t>第二章</w:t>
            </w:r>
          </w:p>
        </w:tc>
        <w:tc>
          <w:tcPr>
            <w:tcW w:w="923" w:type="dxa"/>
            <w:tcBorders>
              <w:tl2br w:val="nil"/>
              <w:tr2bl w:val="nil"/>
            </w:tcBorders>
            <w:vAlign w:val="center"/>
          </w:tcPr>
          <w:p w14:paraId="7E14564A">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1.2</w:t>
            </w:r>
          </w:p>
        </w:tc>
        <w:tc>
          <w:tcPr>
            <w:tcW w:w="2505" w:type="dxa"/>
            <w:tcBorders>
              <w:tl2br w:val="nil"/>
              <w:tr2bl w:val="nil"/>
            </w:tcBorders>
            <w:vAlign w:val="center"/>
          </w:tcPr>
          <w:p w14:paraId="7C223340">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rPr>
              <w:t>标段（包）划分</w:t>
            </w:r>
          </w:p>
        </w:tc>
        <w:tc>
          <w:tcPr>
            <w:tcW w:w="5820" w:type="dxa"/>
            <w:tcBorders>
              <w:tl2br w:val="nil"/>
              <w:tr2bl w:val="nil"/>
            </w:tcBorders>
            <w:vAlign w:val="center"/>
          </w:tcPr>
          <w:p w14:paraId="1C2CE63A">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见“第二章</w:t>
            </w:r>
            <w:r>
              <w:rPr>
                <w:rFonts w:hint="eastAsia"/>
                <w:color w:val="auto"/>
                <w:sz w:val="24"/>
                <w:szCs w:val="24"/>
                <w:lang w:val="en-US" w:eastAsia="zh-CN"/>
              </w:rPr>
              <w:t xml:space="preserve"> </w:t>
            </w:r>
            <w:r>
              <w:rPr>
                <w:rFonts w:hint="eastAsia"/>
                <w:color w:val="auto"/>
                <w:sz w:val="24"/>
                <w:szCs w:val="24"/>
              </w:rPr>
              <w:t>采购项目及服务要求”相应条款</w:t>
            </w:r>
          </w:p>
        </w:tc>
      </w:tr>
      <w:tr w14:paraId="08FB9B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08" w:type="dxa"/>
            <w:vMerge w:val="continue"/>
            <w:tcBorders>
              <w:tl2br w:val="nil"/>
              <w:tr2bl w:val="nil"/>
            </w:tcBorders>
            <w:vAlign w:val="center"/>
          </w:tcPr>
          <w:p w14:paraId="1B2DD90C">
            <w:pPr>
              <w:autoSpaceDE w:val="0"/>
              <w:autoSpaceDN w:val="0"/>
              <w:adjustRightInd w:val="0"/>
              <w:snapToGrid w:val="0"/>
              <w:spacing w:line="240" w:lineRule="auto"/>
              <w:jc w:val="center"/>
              <w:rPr>
                <w:rFonts w:ascii="宋体" w:cs="楷体_GB2312"/>
                <w:b/>
                <w:bCs/>
                <w:sz w:val="24"/>
                <w:lang w:val="zh-CN"/>
              </w:rPr>
            </w:pPr>
          </w:p>
        </w:tc>
        <w:tc>
          <w:tcPr>
            <w:tcW w:w="923" w:type="dxa"/>
            <w:tcBorders>
              <w:tl2br w:val="nil"/>
              <w:tr2bl w:val="nil"/>
            </w:tcBorders>
            <w:vAlign w:val="center"/>
          </w:tcPr>
          <w:p w14:paraId="5F628DC8">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1.2</w:t>
            </w:r>
          </w:p>
        </w:tc>
        <w:tc>
          <w:tcPr>
            <w:tcW w:w="2505" w:type="dxa"/>
            <w:tcBorders>
              <w:tl2br w:val="nil"/>
              <w:tr2bl w:val="nil"/>
            </w:tcBorders>
            <w:vAlign w:val="center"/>
          </w:tcPr>
          <w:p w14:paraId="57817BD1">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rPr>
              <w:t>服务期</w:t>
            </w:r>
          </w:p>
        </w:tc>
        <w:tc>
          <w:tcPr>
            <w:tcW w:w="5820" w:type="dxa"/>
            <w:tcBorders>
              <w:tl2br w:val="nil"/>
              <w:tr2bl w:val="nil"/>
            </w:tcBorders>
            <w:vAlign w:val="center"/>
          </w:tcPr>
          <w:p w14:paraId="303131F2">
            <w:pPr>
              <w:autoSpaceDE w:val="0"/>
              <w:autoSpaceDN w:val="0"/>
              <w:adjustRightInd w:val="0"/>
              <w:snapToGrid w:val="0"/>
              <w:spacing w:before="156" w:beforeLines="50" w:line="240" w:lineRule="auto"/>
              <w:rPr>
                <w:rFonts w:ascii="宋体" w:cs="楷体_GB2312"/>
                <w:bCs/>
                <w:color w:val="auto"/>
                <w:sz w:val="24"/>
                <w:lang w:val="zh-CN"/>
              </w:rPr>
            </w:pPr>
            <w:r>
              <w:rPr>
                <w:rFonts w:hint="eastAsia" w:ascii="宋体" w:hAnsi="宋体"/>
                <w:color w:val="auto"/>
                <w:sz w:val="24"/>
              </w:rPr>
              <w:t>见“第二</w:t>
            </w:r>
            <w:r>
              <w:rPr>
                <w:rFonts w:hint="eastAsia"/>
                <w:color w:val="auto"/>
                <w:sz w:val="24"/>
                <w:szCs w:val="24"/>
              </w:rPr>
              <w:t>章</w:t>
            </w:r>
            <w:r>
              <w:rPr>
                <w:rFonts w:hint="eastAsia"/>
                <w:color w:val="auto"/>
                <w:sz w:val="24"/>
                <w:szCs w:val="24"/>
                <w:lang w:val="en-US" w:eastAsia="zh-CN"/>
              </w:rPr>
              <w:t xml:space="preserve"> </w:t>
            </w:r>
            <w:r>
              <w:rPr>
                <w:rFonts w:hint="eastAsia" w:ascii="宋体" w:hAnsi="宋体"/>
                <w:color w:val="auto"/>
                <w:sz w:val="24"/>
              </w:rPr>
              <w:t>采购项目及服务要求”</w:t>
            </w:r>
            <w:r>
              <w:rPr>
                <w:rFonts w:hint="eastAsia"/>
                <w:color w:val="auto"/>
                <w:sz w:val="24"/>
                <w:szCs w:val="24"/>
              </w:rPr>
              <w:t>相应条款</w:t>
            </w:r>
          </w:p>
        </w:tc>
      </w:tr>
      <w:tr w14:paraId="66BC37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08" w:type="dxa"/>
            <w:vMerge w:val="continue"/>
            <w:tcBorders>
              <w:tl2br w:val="nil"/>
              <w:tr2bl w:val="nil"/>
            </w:tcBorders>
            <w:vAlign w:val="center"/>
          </w:tcPr>
          <w:p w14:paraId="6DF11DB0">
            <w:pPr>
              <w:autoSpaceDE w:val="0"/>
              <w:autoSpaceDN w:val="0"/>
              <w:adjustRightInd w:val="0"/>
              <w:snapToGrid w:val="0"/>
              <w:spacing w:line="240" w:lineRule="auto"/>
              <w:jc w:val="center"/>
              <w:rPr>
                <w:rFonts w:ascii="宋体" w:cs="楷体_GB2312"/>
                <w:b/>
                <w:bCs/>
                <w:sz w:val="24"/>
                <w:lang w:val="zh-CN"/>
              </w:rPr>
            </w:pPr>
          </w:p>
        </w:tc>
        <w:tc>
          <w:tcPr>
            <w:tcW w:w="923" w:type="dxa"/>
            <w:tcBorders>
              <w:tl2br w:val="nil"/>
              <w:tr2bl w:val="nil"/>
            </w:tcBorders>
            <w:vAlign w:val="center"/>
          </w:tcPr>
          <w:p w14:paraId="05F6356B">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1.2</w:t>
            </w:r>
          </w:p>
        </w:tc>
        <w:tc>
          <w:tcPr>
            <w:tcW w:w="2505" w:type="dxa"/>
            <w:tcBorders>
              <w:tl2br w:val="nil"/>
              <w:tr2bl w:val="nil"/>
            </w:tcBorders>
            <w:vAlign w:val="center"/>
          </w:tcPr>
          <w:p w14:paraId="3075B912">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服务地</w:t>
            </w:r>
          </w:p>
        </w:tc>
        <w:tc>
          <w:tcPr>
            <w:tcW w:w="5820" w:type="dxa"/>
            <w:tcBorders>
              <w:tl2br w:val="nil"/>
              <w:tr2bl w:val="nil"/>
            </w:tcBorders>
            <w:vAlign w:val="center"/>
          </w:tcPr>
          <w:p w14:paraId="731F486D">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color w:val="auto"/>
                <w:sz w:val="24"/>
                <w:szCs w:val="24"/>
                <w:lang w:val="en-US" w:eastAsia="zh-CN"/>
              </w:rPr>
              <w:t xml:space="preserve"> </w:t>
            </w:r>
            <w:r>
              <w:rPr>
                <w:rFonts w:hint="eastAsia" w:ascii="宋体" w:hAnsi="宋体" w:cs="楷体_GB2312"/>
                <w:color w:val="auto"/>
                <w:sz w:val="24"/>
                <w:lang w:val="zh-CN"/>
              </w:rPr>
              <w:t>采购项目及服务要求”</w:t>
            </w:r>
            <w:r>
              <w:rPr>
                <w:rFonts w:hint="eastAsia"/>
                <w:color w:val="auto"/>
                <w:sz w:val="24"/>
                <w:szCs w:val="24"/>
              </w:rPr>
              <w:t>相应条款</w:t>
            </w:r>
          </w:p>
        </w:tc>
      </w:tr>
      <w:tr w14:paraId="3D9FCB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08" w:type="dxa"/>
            <w:vMerge w:val="continue"/>
            <w:tcBorders>
              <w:tl2br w:val="nil"/>
              <w:tr2bl w:val="nil"/>
            </w:tcBorders>
            <w:vAlign w:val="center"/>
          </w:tcPr>
          <w:p w14:paraId="2AFC8553">
            <w:pPr>
              <w:autoSpaceDE w:val="0"/>
              <w:autoSpaceDN w:val="0"/>
              <w:adjustRightInd w:val="0"/>
              <w:snapToGrid w:val="0"/>
              <w:spacing w:line="240" w:lineRule="auto"/>
              <w:jc w:val="center"/>
              <w:rPr>
                <w:rFonts w:ascii="宋体" w:cs="楷体_GB2312"/>
                <w:b/>
                <w:bCs/>
                <w:sz w:val="24"/>
                <w:lang w:val="zh-CN"/>
              </w:rPr>
            </w:pPr>
          </w:p>
        </w:tc>
        <w:tc>
          <w:tcPr>
            <w:tcW w:w="923" w:type="dxa"/>
            <w:tcBorders>
              <w:tl2br w:val="nil"/>
              <w:tr2bl w:val="nil"/>
            </w:tcBorders>
            <w:vAlign w:val="center"/>
          </w:tcPr>
          <w:p w14:paraId="0F49366B">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1.3</w:t>
            </w:r>
          </w:p>
        </w:tc>
        <w:tc>
          <w:tcPr>
            <w:tcW w:w="2505" w:type="dxa"/>
            <w:tcBorders>
              <w:tl2br w:val="nil"/>
              <w:tr2bl w:val="nil"/>
            </w:tcBorders>
            <w:vAlign w:val="center"/>
          </w:tcPr>
          <w:p w14:paraId="167C3A47">
            <w:pPr>
              <w:autoSpaceDE w:val="0"/>
              <w:autoSpaceDN w:val="0"/>
              <w:adjustRightInd w:val="0"/>
              <w:snapToGrid w:val="0"/>
              <w:spacing w:line="240" w:lineRule="auto"/>
              <w:jc w:val="center"/>
              <w:rPr>
                <w:rFonts w:hint="eastAsia" w:ascii="宋体" w:hAnsi="宋体" w:eastAsia="宋体" w:cs="楷体_GB2312"/>
                <w:b/>
                <w:bCs/>
                <w:color w:val="auto"/>
                <w:sz w:val="24"/>
              </w:rPr>
            </w:pPr>
            <w:r>
              <w:rPr>
                <w:rFonts w:hint="eastAsia" w:ascii="宋体" w:hAnsi="宋体" w:eastAsia="宋体" w:cs="楷体_GB2312"/>
                <w:b/>
                <w:bCs/>
                <w:color w:val="auto"/>
                <w:sz w:val="24"/>
              </w:rPr>
              <w:t>投标报价</w:t>
            </w:r>
          </w:p>
        </w:tc>
        <w:tc>
          <w:tcPr>
            <w:tcW w:w="5820" w:type="dxa"/>
            <w:tcBorders>
              <w:tl2br w:val="nil"/>
              <w:tr2bl w:val="nil"/>
            </w:tcBorders>
            <w:vAlign w:val="center"/>
          </w:tcPr>
          <w:p w14:paraId="4B9CD992">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见“第二章</w:t>
            </w:r>
            <w:r>
              <w:rPr>
                <w:rFonts w:hint="eastAsia"/>
                <w:color w:val="auto"/>
                <w:sz w:val="24"/>
                <w:szCs w:val="24"/>
                <w:lang w:val="en-US" w:eastAsia="zh-CN"/>
              </w:rPr>
              <w:t xml:space="preserve"> </w:t>
            </w:r>
            <w:r>
              <w:rPr>
                <w:rFonts w:hint="eastAsia"/>
                <w:color w:val="auto"/>
                <w:sz w:val="24"/>
                <w:szCs w:val="24"/>
              </w:rPr>
              <w:t>采购项目及服务要求”相应条款</w:t>
            </w:r>
          </w:p>
        </w:tc>
      </w:tr>
      <w:tr w14:paraId="565DB8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1" w:hRule="atLeast"/>
          <w:jc w:val="center"/>
        </w:trPr>
        <w:tc>
          <w:tcPr>
            <w:tcW w:w="608" w:type="dxa"/>
            <w:vMerge w:val="continue"/>
            <w:tcBorders>
              <w:tl2br w:val="nil"/>
              <w:tr2bl w:val="nil"/>
            </w:tcBorders>
            <w:vAlign w:val="center"/>
          </w:tcPr>
          <w:p w14:paraId="05BC2E43">
            <w:pPr>
              <w:autoSpaceDE w:val="0"/>
              <w:autoSpaceDN w:val="0"/>
              <w:adjustRightInd w:val="0"/>
              <w:snapToGrid w:val="0"/>
              <w:spacing w:line="240" w:lineRule="auto"/>
              <w:jc w:val="center"/>
              <w:rPr>
                <w:rFonts w:ascii="宋体" w:cs="楷体_GB2312"/>
                <w:b/>
                <w:bCs/>
                <w:sz w:val="24"/>
                <w:lang w:val="zh-CN"/>
              </w:rPr>
            </w:pPr>
          </w:p>
        </w:tc>
        <w:tc>
          <w:tcPr>
            <w:tcW w:w="923" w:type="dxa"/>
            <w:tcBorders>
              <w:tl2br w:val="nil"/>
              <w:tr2bl w:val="nil"/>
            </w:tcBorders>
            <w:vAlign w:val="center"/>
          </w:tcPr>
          <w:p w14:paraId="0ADBE310">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2</w:t>
            </w:r>
          </w:p>
        </w:tc>
        <w:tc>
          <w:tcPr>
            <w:tcW w:w="2505" w:type="dxa"/>
            <w:tcBorders>
              <w:tl2br w:val="nil"/>
              <w:tr2bl w:val="nil"/>
            </w:tcBorders>
            <w:vAlign w:val="center"/>
          </w:tcPr>
          <w:p w14:paraId="7DBE6C1E">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标段（包）内容（范围）及服务要求</w:t>
            </w:r>
          </w:p>
        </w:tc>
        <w:tc>
          <w:tcPr>
            <w:tcW w:w="5820" w:type="dxa"/>
            <w:tcBorders>
              <w:tl2br w:val="nil"/>
              <w:tr2bl w:val="nil"/>
            </w:tcBorders>
            <w:vAlign w:val="center"/>
          </w:tcPr>
          <w:p w14:paraId="42103D33">
            <w:pPr>
              <w:autoSpaceDE w:val="0"/>
              <w:autoSpaceDN w:val="0"/>
              <w:adjustRightInd w:val="0"/>
              <w:snapToGrid w:val="0"/>
              <w:spacing w:before="156" w:beforeLines="50" w:line="240" w:lineRule="auto"/>
              <w:rPr>
                <w:rFonts w:ascii="宋体" w:cs="楷体_GB2312"/>
                <w:color w:val="auto"/>
                <w:sz w:val="24"/>
                <w:highlight w:val="green"/>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color w:val="auto"/>
                <w:sz w:val="24"/>
                <w:szCs w:val="24"/>
                <w:lang w:val="en-US" w:eastAsia="zh-CN"/>
              </w:rPr>
              <w:t xml:space="preserve"> </w:t>
            </w:r>
            <w:r>
              <w:rPr>
                <w:rFonts w:hint="eastAsia" w:ascii="宋体" w:hAnsi="宋体" w:cs="楷体_GB2312"/>
                <w:color w:val="auto"/>
                <w:sz w:val="24"/>
                <w:lang w:val="zh-CN"/>
              </w:rPr>
              <w:t>采购项目及服务要求”</w:t>
            </w:r>
            <w:r>
              <w:rPr>
                <w:rFonts w:hint="eastAsia"/>
                <w:color w:val="auto"/>
                <w:sz w:val="24"/>
                <w:szCs w:val="24"/>
              </w:rPr>
              <w:t>相应条款</w:t>
            </w:r>
          </w:p>
        </w:tc>
      </w:tr>
      <w:tr w14:paraId="337311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6" w:hRule="atLeast"/>
          <w:jc w:val="center"/>
        </w:trPr>
        <w:tc>
          <w:tcPr>
            <w:tcW w:w="608" w:type="dxa"/>
            <w:vMerge w:val="restart"/>
            <w:tcBorders>
              <w:tl2br w:val="nil"/>
              <w:tr2bl w:val="nil"/>
            </w:tcBorders>
            <w:vAlign w:val="center"/>
          </w:tcPr>
          <w:p w14:paraId="4664FF16">
            <w:pPr>
              <w:autoSpaceDE w:val="0"/>
              <w:autoSpaceDN w:val="0"/>
              <w:adjustRightInd w:val="0"/>
              <w:snapToGrid w:val="0"/>
              <w:spacing w:line="240" w:lineRule="auto"/>
              <w:jc w:val="center"/>
              <w:rPr>
                <w:rFonts w:ascii="宋体" w:cs="楷体_GB2312"/>
                <w:b/>
                <w:bCs/>
                <w:sz w:val="24"/>
                <w:lang w:val="zh-CN"/>
              </w:rPr>
            </w:pPr>
            <w:r>
              <w:rPr>
                <w:rFonts w:hint="eastAsia" w:ascii="宋体" w:hAnsi="宋体" w:cs="楷体_GB2312"/>
                <w:b/>
                <w:bCs/>
                <w:sz w:val="24"/>
                <w:lang w:val="zh-CN"/>
              </w:rPr>
              <w:t>第三章</w:t>
            </w:r>
          </w:p>
        </w:tc>
        <w:tc>
          <w:tcPr>
            <w:tcW w:w="923" w:type="dxa"/>
            <w:tcBorders>
              <w:tl2br w:val="nil"/>
              <w:tr2bl w:val="nil"/>
            </w:tcBorders>
            <w:vAlign w:val="center"/>
          </w:tcPr>
          <w:p w14:paraId="230FFDF5">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1.4</w:t>
            </w:r>
          </w:p>
        </w:tc>
        <w:tc>
          <w:tcPr>
            <w:tcW w:w="2505" w:type="dxa"/>
            <w:tcBorders>
              <w:tl2br w:val="nil"/>
              <w:tr2bl w:val="nil"/>
            </w:tcBorders>
            <w:vAlign w:val="center"/>
          </w:tcPr>
          <w:p w14:paraId="5F93C7C2">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联合体投标</w:t>
            </w:r>
          </w:p>
        </w:tc>
        <w:tc>
          <w:tcPr>
            <w:tcW w:w="5820" w:type="dxa"/>
            <w:tcBorders>
              <w:tl2br w:val="nil"/>
              <w:tr2bl w:val="nil"/>
            </w:tcBorders>
            <w:vAlign w:val="center"/>
          </w:tcPr>
          <w:p w14:paraId="3F513975">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 xml:space="preserve">不接受    </w:t>
            </w:r>
          </w:p>
        </w:tc>
      </w:tr>
      <w:tr w14:paraId="53B388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608" w:type="dxa"/>
            <w:vMerge w:val="continue"/>
            <w:tcBorders>
              <w:tl2br w:val="nil"/>
              <w:tr2bl w:val="nil"/>
            </w:tcBorders>
            <w:vAlign w:val="center"/>
          </w:tcPr>
          <w:p w14:paraId="79B5D3FD">
            <w:pPr>
              <w:autoSpaceDE w:val="0"/>
              <w:autoSpaceDN w:val="0"/>
              <w:adjustRightInd w:val="0"/>
              <w:snapToGrid w:val="0"/>
              <w:spacing w:line="240" w:lineRule="auto"/>
              <w:jc w:val="center"/>
              <w:rPr>
                <w:rFonts w:ascii="宋体" w:cs="楷体_GB2312"/>
                <w:b/>
                <w:bCs/>
                <w:sz w:val="24"/>
              </w:rPr>
            </w:pPr>
          </w:p>
        </w:tc>
        <w:tc>
          <w:tcPr>
            <w:tcW w:w="923" w:type="dxa"/>
            <w:tcBorders>
              <w:tl2br w:val="nil"/>
              <w:tr2bl w:val="nil"/>
            </w:tcBorders>
            <w:vAlign w:val="center"/>
          </w:tcPr>
          <w:p w14:paraId="5918FE7A">
            <w:pPr>
              <w:autoSpaceDE w:val="0"/>
              <w:autoSpaceDN w:val="0"/>
              <w:adjustRightInd w:val="0"/>
              <w:snapToGrid w:val="0"/>
              <w:spacing w:line="240" w:lineRule="auto"/>
              <w:jc w:val="center"/>
              <w:rPr>
                <w:rFonts w:ascii="宋体" w:hAnsi="宋体" w:eastAsia="宋体" w:cs="楷体_GB2312"/>
                <w:b/>
                <w:bCs/>
                <w:color w:val="auto"/>
                <w:szCs w:val="21"/>
              </w:rPr>
            </w:pPr>
            <w:r>
              <w:rPr>
                <w:rFonts w:ascii="宋体" w:hAnsi="宋体" w:eastAsia="宋体" w:cs="楷体_GB2312"/>
                <w:b/>
                <w:bCs/>
                <w:color w:val="auto"/>
                <w:szCs w:val="21"/>
              </w:rPr>
              <w:t>1.</w:t>
            </w:r>
            <w:r>
              <w:rPr>
                <w:rFonts w:hint="eastAsia" w:ascii="宋体" w:hAnsi="宋体" w:eastAsia="宋体" w:cs="楷体_GB2312"/>
                <w:b/>
                <w:bCs/>
                <w:color w:val="auto"/>
                <w:szCs w:val="21"/>
              </w:rPr>
              <w:t>10</w:t>
            </w:r>
          </w:p>
        </w:tc>
        <w:tc>
          <w:tcPr>
            <w:tcW w:w="2505" w:type="dxa"/>
            <w:tcBorders>
              <w:tl2br w:val="nil"/>
              <w:tr2bl w:val="nil"/>
            </w:tcBorders>
            <w:vAlign w:val="center"/>
          </w:tcPr>
          <w:p w14:paraId="7C3DE00D">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踏勘现场</w:t>
            </w:r>
          </w:p>
        </w:tc>
        <w:tc>
          <w:tcPr>
            <w:tcW w:w="5820" w:type="dxa"/>
            <w:tcBorders>
              <w:tl2br w:val="nil"/>
              <w:tr2bl w:val="nil"/>
            </w:tcBorders>
            <w:vAlign w:val="center"/>
          </w:tcPr>
          <w:p w14:paraId="7C453AB1">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不组织</w:t>
            </w:r>
          </w:p>
        </w:tc>
      </w:tr>
      <w:tr w14:paraId="62159C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608" w:type="dxa"/>
            <w:vMerge w:val="continue"/>
            <w:tcBorders>
              <w:tl2br w:val="nil"/>
              <w:tr2bl w:val="nil"/>
            </w:tcBorders>
            <w:vAlign w:val="center"/>
          </w:tcPr>
          <w:p w14:paraId="789A4039">
            <w:pPr>
              <w:autoSpaceDE w:val="0"/>
              <w:autoSpaceDN w:val="0"/>
              <w:adjustRightInd w:val="0"/>
              <w:snapToGrid w:val="0"/>
              <w:spacing w:line="240" w:lineRule="auto"/>
              <w:jc w:val="center"/>
              <w:rPr>
                <w:rFonts w:ascii="宋体" w:cs="楷体_GB2312"/>
                <w:b/>
                <w:bCs/>
                <w:sz w:val="24"/>
              </w:rPr>
            </w:pPr>
          </w:p>
        </w:tc>
        <w:tc>
          <w:tcPr>
            <w:tcW w:w="923" w:type="dxa"/>
            <w:tcBorders>
              <w:tl2br w:val="nil"/>
              <w:tr2bl w:val="nil"/>
            </w:tcBorders>
            <w:vAlign w:val="center"/>
          </w:tcPr>
          <w:p w14:paraId="0DC624DB">
            <w:pPr>
              <w:autoSpaceDE w:val="0"/>
              <w:autoSpaceDN w:val="0"/>
              <w:adjustRightInd w:val="0"/>
              <w:snapToGrid w:val="0"/>
              <w:spacing w:line="240" w:lineRule="auto"/>
              <w:jc w:val="center"/>
              <w:rPr>
                <w:rFonts w:ascii="宋体" w:hAnsi="宋体" w:eastAsia="宋体" w:cs="楷体_GB2312"/>
                <w:b/>
                <w:bCs/>
                <w:color w:val="auto"/>
                <w:szCs w:val="21"/>
              </w:rPr>
            </w:pPr>
            <w:r>
              <w:rPr>
                <w:rFonts w:ascii="宋体" w:hAnsi="宋体" w:eastAsia="宋体" w:cs="楷体_GB2312"/>
                <w:b/>
                <w:bCs/>
                <w:color w:val="auto"/>
                <w:szCs w:val="21"/>
              </w:rPr>
              <w:t>1.1</w:t>
            </w:r>
            <w:r>
              <w:rPr>
                <w:rFonts w:hint="eastAsia" w:ascii="宋体" w:hAnsi="宋体" w:eastAsia="宋体" w:cs="楷体_GB2312"/>
                <w:b/>
                <w:bCs/>
                <w:color w:val="auto"/>
                <w:szCs w:val="21"/>
              </w:rPr>
              <w:t>1</w:t>
            </w:r>
          </w:p>
        </w:tc>
        <w:tc>
          <w:tcPr>
            <w:tcW w:w="2505" w:type="dxa"/>
            <w:tcBorders>
              <w:tl2br w:val="nil"/>
              <w:tr2bl w:val="nil"/>
            </w:tcBorders>
            <w:vAlign w:val="center"/>
          </w:tcPr>
          <w:p w14:paraId="19113D10">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投标预备会</w:t>
            </w:r>
          </w:p>
        </w:tc>
        <w:tc>
          <w:tcPr>
            <w:tcW w:w="5820" w:type="dxa"/>
            <w:tcBorders>
              <w:tl2br w:val="nil"/>
              <w:tr2bl w:val="nil"/>
            </w:tcBorders>
            <w:vAlign w:val="center"/>
          </w:tcPr>
          <w:p w14:paraId="4A168F77">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不召开</w:t>
            </w:r>
          </w:p>
        </w:tc>
      </w:tr>
      <w:tr w14:paraId="7AA430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608" w:type="dxa"/>
            <w:vMerge w:val="continue"/>
            <w:tcBorders>
              <w:tl2br w:val="nil"/>
              <w:tr2bl w:val="nil"/>
            </w:tcBorders>
            <w:vAlign w:val="center"/>
          </w:tcPr>
          <w:p w14:paraId="536E15D2">
            <w:pPr>
              <w:autoSpaceDE w:val="0"/>
              <w:autoSpaceDN w:val="0"/>
              <w:adjustRightInd w:val="0"/>
              <w:snapToGrid w:val="0"/>
              <w:spacing w:line="240" w:lineRule="auto"/>
              <w:jc w:val="center"/>
              <w:rPr>
                <w:rFonts w:ascii="宋体" w:cs="楷体_GB2312"/>
                <w:b/>
                <w:bCs/>
                <w:sz w:val="24"/>
              </w:rPr>
            </w:pPr>
          </w:p>
        </w:tc>
        <w:tc>
          <w:tcPr>
            <w:tcW w:w="923" w:type="dxa"/>
            <w:tcBorders>
              <w:tl2br w:val="nil"/>
              <w:tr2bl w:val="nil"/>
            </w:tcBorders>
            <w:vAlign w:val="center"/>
          </w:tcPr>
          <w:p w14:paraId="0C283049">
            <w:pPr>
              <w:autoSpaceDE w:val="0"/>
              <w:autoSpaceDN w:val="0"/>
              <w:adjustRightInd w:val="0"/>
              <w:snapToGrid w:val="0"/>
              <w:spacing w:line="240" w:lineRule="auto"/>
              <w:jc w:val="center"/>
              <w:rPr>
                <w:rFonts w:ascii="宋体" w:hAnsi="宋体" w:eastAsia="宋体" w:cs="楷体_GB2312"/>
                <w:b/>
                <w:bCs/>
                <w:color w:val="auto"/>
                <w:szCs w:val="21"/>
              </w:rPr>
            </w:pPr>
            <w:r>
              <w:rPr>
                <w:rFonts w:ascii="宋体" w:hAnsi="宋体" w:eastAsia="宋体" w:cs="楷体_GB2312"/>
                <w:b/>
                <w:bCs/>
                <w:color w:val="auto"/>
                <w:szCs w:val="21"/>
              </w:rPr>
              <w:t>1.1</w:t>
            </w:r>
            <w:r>
              <w:rPr>
                <w:rFonts w:hint="eastAsia" w:ascii="宋体" w:hAnsi="宋体" w:eastAsia="宋体" w:cs="楷体_GB2312"/>
                <w:b/>
                <w:bCs/>
                <w:color w:val="auto"/>
                <w:szCs w:val="21"/>
              </w:rPr>
              <w:t>2</w:t>
            </w:r>
          </w:p>
        </w:tc>
        <w:tc>
          <w:tcPr>
            <w:tcW w:w="2505" w:type="dxa"/>
            <w:tcBorders>
              <w:tl2br w:val="nil"/>
              <w:tr2bl w:val="nil"/>
            </w:tcBorders>
            <w:vAlign w:val="center"/>
          </w:tcPr>
          <w:p w14:paraId="3DC904C9">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分包</w:t>
            </w:r>
          </w:p>
        </w:tc>
        <w:tc>
          <w:tcPr>
            <w:tcW w:w="5820" w:type="dxa"/>
            <w:tcBorders>
              <w:tl2br w:val="nil"/>
              <w:tr2bl w:val="nil"/>
            </w:tcBorders>
            <w:vAlign w:val="center"/>
          </w:tcPr>
          <w:p w14:paraId="1E46C2F8">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 xml:space="preserve">不允许     </w:t>
            </w:r>
          </w:p>
        </w:tc>
      </w:tr>
      <w:tr w14:paraId="668175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608" w:type="dxa"/>
            <w:vMerge w:val="continue"/>
            <w:tcBorders>
              <w:tl2br w:val="nil"/>
              <w:tr2bl w:val="nil"/>
            </w:tcBorders>
            <w:vAlign w:val="center"/>
          </w:tcPr>
          <w:p w14:paraId="6AA02468">
            <w:pPr>
              <w:autoSpaceDE w:val="0"/>
              <w:autoSpaceDN w:val="0"/>
              <w:adjustRightInd w:val="0"/>
              <w:snapToGrid w:val="0"/>
              <w:spacing w:line="240" w:lineRule="auto"/>
              <w:jc w:val="center"/>
              <w:rPr>
                <w:rFonts w:ascii="宋体" w:cs="楷体_GB2312"/>
                <w:b/>
                <w:bCs/>
                <w:sz w:val="24"/>
              </w:rPr>
            </w:pPr>
          </w:p>
        </w:tc>
        <w:tc>
          <w:tcPr>
            <w:tcW w:w="923" w:type="dxa"/>
            <w:tcBorders>
              <w:tl2br w:val="nil"/>
              <w:tr2bl w:val="nil"/>
            </w:tcBorders>
            <w:vAlign w:val="center"/>
          </w:tcPr>
          <w:p w14:paraId="29447688">
            <w:pPr>
              <w:autoSpaceDE w:val="0"/>
              <w:autoSpaceDN w:val="0"/>
              <w:adjustRightInd w:val="0"/>
              <w:snapToGrid w:val="0"/>
              <w:spacing w:line="240" w:lineRule="auto"/>
              <w:jc w:val="center"/>
              <w:rPr>
                <w:rFonts w:ascii="宋体" w:hAnsi="宋体" w:eastAsia="宋体" w:cs="楷体_GB2312"/>
                <w:b/>
                <w:bCs/>
                <w:color w:val="auto"/>
                <w:szCs w:val="21"/>
              </w:rPr>
            </w:pPr>
            <w:r>
              <w:rPr>
                <w:rFonts w:ascii="宋体" w:hAnsi="宋体" w:eastAsia="宋体" w:cs="楷体_GB2312"/>
                <w:b/>
                <w:bCs/>
                <w:color w:val="auto"/>
                <w:szCs w:val="21"/>
              </w:rPr>
              <w:t>2.1</w:t>
            </w:r>
          </w:p>
        </w:tc>
        <w:tc>
          <w:tcPr>
            <w:tcW w:w="2505" w:type="dxa"/>
            <w:tcBorders>
              <w:tl2br w:val="nil"/>
              <w:tr2bl w:val="nil"/>
            </w:tcBorders>
            <w:vAlign w:val="center"/>
          </w:tcPr>
          <w:p w14:paraId="3A6522C3">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构成《谈判文件》的其他材料</w:t>
            </w:r>
          </w:p>
        </w:tc>
        <w:tc>
          <w:tcPr>
            <w:tcW w:w="5820" w:type="dxa"/>
            <w:tcBorders>
              <w:tl2br w:val="nil"/>
              <w:tr2bl w:val="nil"/>
            </w:tcBorders>
            <w:vAlign w:val="center"/>
          </w:tcPr>
          <w:p w14:paraId="0490C772">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投标人须知”相应条款</w:t>
            </w:r>
          </w:p>
        </w:tc>
      </w:tr>
      <w:tr w14:paraId="780996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608" w:type="dxa"/>
            <w:vMerge w:val="continue"/>
            <w:tcBorders>
              <w:tl2br w:val="nil"/>
              <w:tr2bl w:val="nil"/>
            </w:tcBorders>
            <w:vAlign w:val="center"/>
          </w:tcPr>
          <w:p w14:paraId="023C37F0">
            <w:pPr>
              <w:autoSpaceDE w:val="0"/>
              <w:autoSpaceDN w:val="0"/>
              <w:adjustRightInd w:val="0"/>
              <w:snapToGrid w:val="0"/>
              <w:spacing w:line="240" w:lineRule="auto"/>
              <w:jc w:val="center"/>
              <w:rPr>
                <w:rFonts w:ascii="宋体" w:cs="楷体_GB2312"/>
                <w:b/>
                <w:bCs/>
                <w:sz w:val="24"/>
              </w:rPr>
            </w:pPr>
          </w:p>
        </w:tc>
        <w:tc>
          <w:tcPr>
            <w:tcW w:w="923" w:type="dxa"/>
            <w:tcBorders>
              <w:tl2br w:val="nil"/>
              <w:tr2bl w:val="nil"/>
            </w:tcBorders>
            <w:vAlign w:val="center"/>
          </w:tcPr>
          <w:p w14:paraId="78642114">
            <w:pPr>
              <w:autoSpaceDE w:val="0"/>
              <w:autoSpaceDN w:val="0"/>
              <w:adjustRightInd w:val="0"/>
              <w:snapToGrid w:val="0"/>
              <w:spacing w:line="240" w:lineRule="auto"/>
              <w:jc w:val="center"/>
              <w:rPr>
                <w:rFonts w:ascii="宋体" w:hAnsi="宋体" w:eastAsia="宋体" w:cs="楷体_GB2312"/>
                <w:b/>
                <w:bCs/>
                <w:color w:val="auto"/>
                <w:szCs w:val="21"/>
              </w:rPr>
            </w:pPr>
            <w:r>
              <w:rPr>
                <w:rFonts w:ascii="宋体" w:hAnsi="宋体" w:eastAsia="宋体" w:cs="楷体_GB2312"/>
                <w:b/>
                <w:bCs/>
                <w:color w:val="auto"/>
                <w:szCs w:val="21"/>
              </w:rPr>
              <w:t>2.2.1</w:t>
            </w:r>
          </w:p>
        </w:tc>
        <w:tc>
          <w:tcPr>
            <w:tcW w:w="2505" w:type="dxa"/>
            <w:tcBorders>
              <w:tl2br w:val="nil"/>
              <w:tr2bl w:val="nil"/>
            </w:tcBorders>
            <w:vAlign w:val="center"/>
          </w:tcPr>
          <w:p w14:paraId="31973B6E">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投标人提出问题的截止时间</w:t>
            </w:r>
          </w:p>
        </w:tc>
        <w:tc>
          <w:tcPr>
            <w:tcW w:w="5820" w:type="dxa"/>
            <w:tcBorders>
              <w:tl2br w:val="nil"/>
              <w:tr2bl w:val="nil"/>
            </w:tcBorders>
            <w:vAlign w:val="center"/>
          </w:tcPr>
          <w:p w14:paraId="6A32BC52">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lang w:val="zh-CN"/>
              </w:rPr>
              <w:t>2</w:t>
            </w:r>
            <w:r>
              <w:rPr>
                <w:rFonts w:hint="eastAsia" w:ascii="宋体" w:hAnsi="宋体" w:cs="楷体_GB2312"/>
                <w:color w:val="auto"/>
                <w:sz w:val="24"/>
                <w:lang w:val="zh-CN"/>
              </w:rPr>
              <w:t>日前</w:t>
            </w:r>
          </w:p>
        </w:tc>
      </w:tr>
      <w:tr w14:paraId="79B7D2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08" w:type="dxa"/>
            <w:vMerge w:val="continue"/>
            <w:tcBorders>
              <w:tl2br w:val="nil"/>
              <w:tr2bl w:val="nil"/>
            </w:tcBorders>
            <w:vAlign w:val="center"/>
          </w:tcPr>
          <w:p w14:paraId="4753F80E">
            <w:pPr>
              <w:autoSpaceDE w:val="0"/>
              <w:autoSpaceDN w:val="0"/>
              <w:adjustRightInd w:val="0"/>
              <w:snapToGrid w:val="0"/>
              <w:spacing w:line="240" w:lineRule="auto"/>
              <w:jc w:val="center"/>
              <w:rPr>
                <w:rFonts w:ascii="宋体" w:cs="楷体_GB2312"/>
                <w:b/>
                <w:bCs/>
                <w:sz w:val="24"/>
                <w:lang w:val="zh-CN"/>
              </w:rPr>
            </w:pPr>
          </w:p>
        </w:tc>
        <w:tc>
          <w:tcPr>
            <w:tcW w:w="923" w:type="dxa"/>
            <w:tcBorders>
              <w:tl2br w:val="nil"/>
              <w:tr2bl w:val="nil"/>
            </w:tcBorders>
            <w:vAlign w:val="center"/>
          </w:tcPr>
          <w:p w14:paraId="08D7039F">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2.3</w:t>
            </w:r>
          </w:p>
        </w:tc>
        <w:tc>
          <w:tcPr>
            <w:tcW w:w="2505" w:type="dxa"/>
            <w:tcBorders>
              <w:tl2br w:val="nil"/>
              <w:tr2bl w:val="nil"/>
            </w:tcBorders>
            <w:vAlign w:val="center"/>
          </w:tcPr>
          <w:p w14:paraId="378D1116">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《谈判文件》澄清修改补充时间</w:t>
            </w:r>
          </w:p>
        </w:tc>
        <w:tc>
          <w:tcPr>
            <w:tcW w:w="5820" w:type="dxa"/>
            <w:tcBorders>
              <w:tl2br w:val="nil"/>
              <w:tr2bl w:val="nil"/>
            </w:tcBorders>
            <w:vAlign w:val="center"/>
          </w:tcPr>
          <w:p w14:paraId="47E1AB3D">
            <w:pPr>
              <w:autoSpaceDE w:val="0"/>
              <w:autoSpaceDN w:val="0"/>
              <w:adjustRightInd w:val="0"/>
              <w:snapToGrid w:val="0"/>
              <w:spacing w:before="156" w:beforeLines="50" w:line="240" w:lineRule="auto"/>
              <w:rPr>
                <w:rFonts w:ascii="宋体" w:hAns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rPr>
              <w:t>3</w:t>
            </w:r>
            <w:r>
              <w:rPr>
                <w:rFonts w:hint="eastAsia" w:ascii="宋体" w:hAnsi="宋体" w:cs="楷体_GB2312"/>
                <w:color w:val="auto"/>
                <w:sz w:val="24"/>
              </w:rPr>
              <w:t>个工作</w:t>
            </w:r>
            <w:r>
              <w:rPr>
                <w:rFonts w:hint="eastAsia" w:ascii="宋体" w:hAnsi="宋体" w:cs="楷体_GB2312"/>
                <w:color w:val="auto"/>
                <w:sz w:val="24"/>
                <w:lang w:val="zh-CN"/>
              </w:rPr>
              <w:t>日前</w:t>
            </w:r>
          </w:p>
        </w:tc>
      </w:tr>
      <w:tr w14:paraId="48BC76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08" w:type="dxa"/>
            <w:vMerge w:val="continue"/>
            <w:tcBorders>
              <w:tl2br w:val="nil"/>
              <w:tr2bl w:val="nil"/>
            </w:tcBorders>
            <w:vAlign w:val="center"/>
          </w:tcPr>
          <w:p w14:paraId="7B05AD08">
            <w:pPr>
              <w:autoSpaceDE w:val="0"/>
              <w:autoSpaceDN w:val="0"/>
              <w:adjustRightInd w:val="0"/>
              <w:snapToGrid w:val="0"/>
              <w:spacing w:line="240" w:lineRule="auto"/>
              <w:jc w:val="center"/>
              <w:rPr>
                <w:rFonts w:ascii="宋体" w:cs="楷体_GB2312"/>
                <w:b/>
                <w:bCs/>
                <w:sz w:val="24"/>
                <w:lang w:val="zh-CN"/>
              </w:rPr>
            </w:pPr>
          </w:p>
        </w:tc>
        <w:tc>
          <w:tcPr>
            <w:tcW w:w="923" w:type="dxa"/>
            <w:tcBorders>
              <w:tl2br w:val="nil"/>
              <w:tr2bl w:val="nil"/>
            </w:tcBorders>
            <w:vAlign w:val="center"/>
          </w:tcPr>
          <w:p w14:paraId="0324FA03">
            <w:pPr>
              <w:autoSpaceDE w:val="0"/>
              <w:autoSpaceDN w:val="0"/>
              <w:adjustRightInd w:val="0"/>
              <w:snapToGrid w:val="0"/>
              <w:spacing w:line="240" w:lineRule="auto"/>
              <w:jc w:val="center"/>
              <w:rPr>
                <w:rFonts w:ascii="宋体" w:hAnsi="宋体" w:eastAsia="宋体" w:cs="楷体_GB2312"/>
                <w:b/>
                <w:bCs/>
                <w:color w:val="auto"/>
                <w:szCs w:val="21"/>
              </w:rPr>
            </w:pPr>
            <w:r>
              <w:rPr>
                <w:rFonts w:ascii="宋体" w:hAnsi="宋体" w:eastAsia="宋体" w:cs="楷体_GB2312"/>
                <w:b/>
                <w:bCs/>
                <w:color w:val="auto"/>
                <w:szCs w:val="21"/>
              </w:rPr>
              <w:t>2.4</w:t>
            </w:r>
          </w:p>
        </w:tc>
        <w:tc>
          <w:tcPr>
            <w:tcW w:w="2505" w:type="dxa"/>
            <w:tcBorders>
              <w:tl2br w:val="nil"/>
              <w:tr2bl w:val="nil"/>
            </w:tcBorders>
            <w:vAlign w:val="center"/>
          </w:tcPr>
          <w:p w14:paraId="1D895D95">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《谈判文件》的澄清修改补充告知方式</w:t>
            </w:r>
          </w:p>
        </w:tc>
        <w:tc>
          <w:tcPr>
            <w:tcW w:w="5820" w:type="dxa"/>
            <w:tcBorders>
              <w:tl2br w:val="nil"/>
              <w:tr2bl w:val="nil"/>
            </w:tcBorders>
            <w:vAlign w:val="center"/>
          </w:tcPr>
          <w:p w14:paraId="0B4270AF">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投标人须知”相应条款</w:t>
            </w:r>
          </w:p>
        </w:tc>
      </w:tr>
      <w:tr w14:paraId="264B75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jc w:val="center"/>
        </w:trPr>
        <w:tc>
          <w:tcPr>
            <w:tcW w:w="608" w:type="dxa"/>
            <w:vMerge w:val="continue"/>
            <w:tcBorders>
              <w:tl2br w:val="nil"/>
              <w:tr2bl w:val="nil"/>
            </w:tcBorders>
            <w:vAlign w:val="center"/>
          </w:tcPr>
          <w:p w14:paraId="6DA6F520">
            <w:pPr>
              <w:autoSpaceDE w:val="0"/>
              <w:autoSpaceDN w:val="0"/>
              <w:adjustRightInd w:val="0"/>
              <w:snapToGrid w:val="0"/>
              <w:spacing w:line="240" w:lineRule="auto"/>
              <w:jc w:val="center"/>
              <w:rPr>
                <w:rFonts w:ascii="宋体" w:cs="楷体_GB2312"/>
                <w:b/>
                <w:bCs/>
                <w:sz w:val="24"/>
                <w:lang w:val="zh-CN"/>
              </w:rPr>
            </w:pPr>
          </w:p>
        </w:tc>
        <w:tc>
          <w:tcPr>
            <w:tcW w:w="923" w:type="dxa"/>
            <w:tcBorders>
              <w:tl2br w:val="nil"/>
              <w:tr2bl w:val="nil"/>
            </w:tcBorders>
            <w:vAlign w:val="center"/>
          </w:tcPr>
          <w:p w14:paraId="2AC909BF">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3.2</w:t>
            </w:r>
          </w:p>
        </w:tc>
        <w:tc>
          <w:tcPr>
            <w:tcW w:w="2505" w:type="dxa"/>
            <w:tcBorders>
              <w:tl2br w:val="nil"/>
              <w:tr2bl w:val="nil"/>
            </w:tcBorders>
            <w:vAlign w:val="center"/>
          </w:tcPr>
          <w:p w14:paraId="73124A1C">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《响应文件》的组成</w:t>
            </w:r>
          </w:p>
        </w:tc>
        <w:tc>
          <w:tcPr>
            <w:tcW w:w="5820" w:type="dxa"/>
            <w:tcBorders>
              <w:tl2br w:val="nil"/>
              <w:tr2bl w:val="nil"/>
            </w:tcBorders>
            <w:vAlign w:val="center"/>
          </w:tcPr>
          <w:p w14:paraId="3785B105">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投标人须知”相应条款</w:t>
            </w:r>
          </w:p>
        </w:tc>
      </w:tr>
      <w:tr w14:paraId="466396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4" w:hRule="atLeast"/>
          <w:jc w:val="center"/>
        </w:trPr>
        <w:tc>
          <w:tcPr>
            <w:tcW w:w="608" w:type="dxa"/>
            <w:vMerge w:val="restart"/>
            <w:tcBorders>
              <w:tl2br w:val="nil"/>
              <w:tr2bl w:val="nil"/>
            </w:tcBorders>
            <w:vAlign w:val="center"/>
          </w:tcPr>
          <w:p w14:paraId="32030B83">
            <w:pPr>
              <w:autoSpaceDE w:val="0"/>
              <w:autoSpaceDN w:val="0"/>
              <w:adjustRightInd w:val="0"/>
              <w:snapToGrid w:val="0"/>
              <w:spacing w:line="240" w:lineRule="auto"/>
              <w:jc w:val="center"/>
              <w:rPr>
                <w:rFonts w:ascii="宋体" w:hAnsi="宋体" w:cs="楷体_GB2312"/>
                <w:b/>
                <w:bCs/>
                <w:sz w:val="24"/>
                <w:lang w:val="zh-CN"/>
              </w:rPr>
            </w:pPr>
            <w:r>
              <w:rPr>
                <w:rFonts w:hint="eastAsia" w:ascii="宋体" w:hAnsi="宋体" w:cs="楷体_GB2312"/>
                <w:b/>
                <w:bCs/>
                <w:sz w:val="24"/>
                <w:lang w:val="zh-CN"/>
              </w:rPr>
              <w:t>第三章</w:t>
            </w:r>
          </w:p>
          <w:p w14:paraId="7E1488AF">
            <w:pPr>
              <w:autoSpaceDE w:val="0"/>
              <w:autoSpaceDN w:val="0"/>
              <w:adjustRightInd w:val="0"/>
              <w:snapToGrid w:val="0"/>
              <w:spacing w:line="240" w:lineRule="auto"/>
              <w:jc w:val="center"/>
              <w:rPr>
                <w:rFonts w:ascii="宋体" w:cs="楷体_GB2312"/>
                <w:b/>
                <w:bCs/>
                <w:sz w:val="24"/>
                <w:lang w:val="zh-CN"/>
              </w:rPr>
            </w:pPr>
          </w:p>
        </w:tc>
        <w:tc>
          <w:tcPr>
            <w:tcW w:w="923" w:type="dxa"/>
            <w:tcBorders>
              <w:tl2br w:val="nil"/>
              <w:tr2bl w:val="nil"/>
            </w:tcBorders>
            <w:vAlign w:val="center"/>
          </w:tcPr>
          <w:p w14:paraId="55CA011D">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3.4.1</w:t>
            </w:r>
          </w:p>
        </w:tc>
        <w:tc>
          <w:tcPr>
            <w:tcW w:w="2505" w:type="dxa"/>
            <w:tcBorders>
              <w:tl2br w:val="nil"/>
              <w:tr2bl w:val="nil"/>
            </w:tcBorders>
            <w:vAlign w:val="center"/>
          </w:tcPr>
          <w:p w14:paraId="6F0A2187">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投标有效期</w:t>
            </w:r>
          </w:p>
        </w:tc>
        <w:tc>
          <w:tcPr>
            <w:tcW w:w="5820" w:type="dxa"/>
            <w:tcBorders>
              <w:tl2br w:val="nil"/>
              <w:tr2bl w:val="nil"/>
            </w:tcBorders>
            <w:vAlign w:val="center"/>
          </w:tcPr>
          <w:p w14:paraId="65699EFA">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从开标之日起，投标有效期为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14:paraId="3188F8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608" w:type="dxa"/>
            <w:vMerge w:val="continue"/>
            <w:tcBorders>
              <w:tl2br w:val="nil"/>
              <w:tr2bl w:val="nil"/>
            </w:tcBorders>
            <w:vAlign w:val="center"/>
          </w:tcPr>
          <w:p w14:paraId="78AC24C4">
            <w:pPr>
              <w:autoSpaceDE w:val="0"/>
              <w:autoSpaceDN w:val="0"/>
              <w:adjustRightInd w:val="0"/>
              <w:snapToGrid w:val="0"/>
              <w:spacing w:line="240" w:lineRule="auto"/>
              <w:jc w:val="center"/>
              <w:rPr>
                <w:rFonts w:ascii="宋体" w:cs="楷体_GB2312"/>
                <w:b/>
                <w:bCs/>
                <w:sz w:val="24"/>
                <w:lang w:val="zh-CN"/>
              </w:rPr>
            </w:pPr>
          </w:p>
        </w:tc>
        <w:tc>
          <w:tcPr>
            <w:tcW w:w="923" w:type="dxa"/>
            <w:tcBorders>
              <w:tl2br w:val="nil"/>
              <w:tr2bl w:val="nil"/>
            </w:tcBorders>
            <w:vAlign w:val="center"/>
          </w:tcPr>
          <w:p w14:paraId="4C15158D">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3.5</w:t>
            </w:r>
          </w:p>
        </w:tc>
        <w:tc>
          <w:tcPr>
            <w:tcW w:w="2505" w:type="dxa"/>
            <w:tcBorders>
              <w:tl2br w:val="nil"/>
              <w:tr2bl w:val="nil"/>
            </w:tcBorders>
            <w:vAlign w:val="center"/>
          </w:tcPr>
          <w:p w14:paraId="2A6F20B0">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投标承诺函</w:t>
            </w:r>
          </w:p>
          <w:p w14:paraId="65DAFADF">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（替代投标保证金）</w:t>
            </w:r>
          </w:p>
        </w:tc>
        <w:tc>
          <w:tcPr>
            <w:tcW w:w="5820" w:type="dxa"/>
            <w:tcBorders>
              <w:tl2br w:val="nil"/>
              <w:tr2bl w:val="nil"/>
            </w:tcBorders>
            <w:vAlign w:val="center"/>
          </w:tcPr>
          <w:p w14:paraId="5D0E189B">
            <w:pPr>
              <w:widowControl w:val="0"/>
              <w:snapToGrid w:val="0"/>
              <w:spacing w:before="156" w:beforeLines="50" w:line="240" w:lineRule="auto"/>
              <w:rPr>
                <w:color w:val="auto"/>
                <w:sz w:val="24"/>
                <w:szCs w:val="24"/>
              </w:rPr>
            </w:pPr>
            <w:r>
              <w:rPr>
                <w:rFonts w:hint="eastAsia"/>
                <w:color w:val="auto"/>
                <w:sz w:val="24"/>
                <w:szCs w:val="24"/>
              </w:rPr>
              <w:t>以投标承诺函形式替代投标保证金。</w:t>
            </w:r>
          </w:p>
          <w:p w14:paraId="19E2114B">
            <w:pPr>
              <w:widowControl w:val="0"/>
              <w:snapToGrid w:val="0"/>
              <w:spacing w:before="156" w:beforeLines="50" w:line="240" w:lineRule="auto"/>
              <w:rPr>
                <w:color w:val="auto"/>
                <w:sz w:val="24"/>
                <w:szCs w:val="24"/>
              </w:rPr>
            </w:pPr>
            <w:r>
              <w:rPr>
                <w:rFonts w:hint="eastAsia"/>
                <w:color w:val="auto"/>
                <w:sz w:val="24"/>
                <w:szCs w:val="24"/>
              </w:rPr>
              <w:t>供应商应按附件格式进行投标承诺、违背承诺的责任追究。</w:t>
            </w:r>
          </w:p>
        </w:tc>
      </w:tr>
      <w:tr w14:paraId="613ABE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7" w:hRule="atLeast"/>
          <w:jc w:val="center"/>
        </w:trPr>
        <w:tc>
          <w:tcPr>
            <w:tcW w:w="608" w:type="dxa"/>
            <w:vMerge w:val="continue"/>
            <w:tcBorders>
              <w:tl2br w:val="nil"/>
              <w:tr2bl w:val="nil"/>
            </w:tcBorders>
            <w:vAlign w:val="center"/>
          </w:tcPr>
          <w:p w14:paraId="1929BDE0">
            <w:pPr>
              <w:autoSpaceDE w:val="0"/>
              <w:autoSpaceDN w:val="0"/>
              <w:adjustRightInd w:val="0"/>
              <w:snapToGrid w:val="0"/>
              <w:spacing w:line="240" w:lineRule="auto"/>
              <w:jc w:val="center"/>
              <w:rPr>
                <w:rFonts w:ascii="宋体" w:cs="楷体_GB2312"/>
                <w:b/>
                <w:bCs/>
                <w:sz w:val="24"/>
                <w:lang w:val="zh-CN"/>
              </w:rPr>
            </w:pPr>
          </w:p>
        </w:tc>
        <w:tc>
          <w:tcPr>
            <w:tcW w:w="923" w:type="dxa"/>
            <w:tcBorders>
              <w:tl2br w:val="nil"/>
              <w:tr2bl w:val="nil"/>
            </w:tcBorders>
            <w:vAlign w:val="center"/>
          </w:tcPr>
          <w:p w14:paraId="76121901">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3.7.3</w:t>
            </w:r>
          </w:p>
        </w:tc>
        <w:tc>
          <w:tcPr>
            <w:tcW w:w="2505" w:type="dxa"/>
            <w:tcBorders>
              <w:tl2br w:val="nil"/>
              <w:tr2bl w:val="nil"/>
            </w:tcBorders>
            <w:vAlign w:val="center"/>
          </w:tcPr>
          <w:p w14:paraId="1531E6B9">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偏差描述</w:t>
            </w:r>
          </w:p>
        </w:tc>
        <w:tc>
          <w:tcPr>
            <w:tcW w:w="5820" w:type="dxa"/>
            <w:tcBorders>
              <w:tl2br w:val="nil"/>
              <w:tr2bl w:val="nil"/>
            </w:tcBorders>
            <w:vAlign w:val="center"/>
          </w:tcPr>
          <w:p w14:paraId="36FBFEE5">
            <w:pPr>
              <w:widowControl w:val="0"/>
              <w:snapToGrid w:val="0"/>
              <w:spacing w:before="156" w:beforeLines="50" w:line="240" w:lineRule="auto"/>
              <w:rPr>
                <w:b/>
                <w:color w:val="auto"/>
                <w:sz w:val="24"/>
                <w:szCs w:val="24"/>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投标人须知”相应条款</w:t>
            </w:r>
          </w:p>
        </w:tc>
      </w:tr>
      <w:tr w14:paraId="2E0074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 w:hRule="atLeast"/>
          <w:jc w:val="center"/>
        </w:trPr>
        <w:tc>
          <w:tcPr>
            <w:tcW w:w="608" w:type="dxa"/>
            <w:vMerge w:val="continue"/>
            <w:tcBorders>
              <w:tl2br w:val="nil"/>
              <w:tr2bl w:val="nil"/>
            </w:tcBorders>
            <w:vAlign w:val="center"/>
          </w:tcPr>
          <w:p w14:paraId="1CE55AF2">
            <w:pPr>
              <w:autoSpaceDE w:val="0"/>
              <w:autoSpaceDN w:val="0"/>
              <w:adjustRightInd w:val="0"/>
              <w:snapToGrid w:val="0"/>
              <w:spacing w:line="240" w:lineRule="auto"/>
              <w:jc w:val="center"/>
              <w:rPr>
                <w:rFonts w:ascii="宋体" w:cs="楷体_GB2312"/>
                <w:b/>
                <w:bCs/>
                <w:sz w:val="24"/>
              </w:rPr>
            </w:pPr>
          </w:p>
        </w:tc>
        <w:tc>
          <w:tcPr>
            <w:tcW w:w="923" w:type="dxa"/>
            <w:tcBorders>
              <w:tl2br w:val="nil"/>
              <w:tr2bl w:val="nil"/>
            </w:tcBorders>
            <w:vAlign w:val="center"/>
          </w:tcPr>
          <w:p w14:paraId="249164CD">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rPr>
              <w:t>3.7.4</w:t>
            </w:r>
          </w:p>
        </w:tc>
        <w:tc>
          <w:tcPr>
            <w:tcW w:w="2505" w:type="dxa"/>
            <w:tcBorders>
              <w:tl2br w:val="nil"/>
              <w:tr2bl w:val="nil"/>
            </w:tcBorders>
            <w:vAlign w:val="center"/>
          </w:tcPr>
          <w:p w14:paraId="3862569D">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签字或盖章要求</w:t>
            </w:r>
          </w:p>
        </w:tc>
        <w:tc>
          <w:tcPr>
            <w:tcW w:w="5820" w:type="dxa"/>
            <w:tcBorders>
              <w:tl2br w:val="nil"/>
              <w:tr2bl w:val="nil"/>
            </w:tcBorders>
            <w:vAlign w:val="center"/>
          </w:tcPr>
          <w:p w14:paraId="55A14972">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投标人须知”相应条款</w:t>
            </w:r>
          </w:p>
        </w:tc>
      </w:tr>
      <w:tr w14:paraId="2EC5FD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608" w:type="dxa"/>
            <w:vMerge w:val="continue"/>
            <w:tcBorders>
              <w:tl2br w:val="nil"/>
              <w:tr2bl w:val="nil"/>
            </w:tcBorders>
            <w:vAlign w:val="center"/>
          </w:tcPr>
          <w:p w14:paraId="3F328788">
            <w:pPr>
              <w:autoSpaceDE w:val="0"/>
              <w:autoSpaceDN w:val="0"/>
              <w:adjustRightInd w:val="0"/>
              <w:snapToGrid w:val="0"/>
              <w:spacing w:line="240" w:lineRule="auto"/>
              <w:jc w:val="center"/>
              <w:rPr>
                <w:rFonts w:ascii="宋体" w:cs="楷体_GB2312"/>
                <w:b/>
                <w:bCs/>
                <w:sz w:val="24"/>
              </w:rPr>
            </w:pPr>
          </w:p>
        </w:tc>
        <w:tc>
          <w:tcPr>
            <w:tcW w:w="923" w:type="dxa"/>
            <w:tcBorders>
              <w:tl2br w:val="nil"/>
              <w:tr2bl w:val="nil"/>
            </w:tcBorders>
            <w:vAlign w:val="center"/>
          </w:tcPr>
          <w:p w14:paraId="2D59897A">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rPr>
              <w:t>4.2.4</w:t>
            </w:r>
          </w:p>
        </w:tc>
        <w:tc>
          <w:tcPr>
            <w:tcW w:w="2505" w:type="dxa"/>
            <w:tcBorders>
              <w:tl2br w:val="nil"/>
              <w:tr2bl w:val="nil"/>
            </w:tcBorders>
            <w:vAlign w:val="center"/>
          </w:tcPr>
          <w:p w14:paraId="72802059">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是否退还《响应文件》</w:t>
            </w:r>
          </w:p>
        </w:tc>
        <w:tc>
          <w:tcPr>
            <w:tcW w:w="5820" w:type="dxa"/>
            <w:tcBorders>
              <w:tl2br w:val="nil"/>
              <w:tr2bl w:val="nil"/>
            </w:tcBorders>
            <w:vAlign w:val="center"/>
          </w:tcPr>
          <w:p w14:paraId="118D8D5E">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否</w:t>
            </w:r>
          </w:p>
        </w:tc>
      </w:tr>
      <w:tr w14:paraId="570883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7" w:hRule="atLeast"/>
          <w:jc w:val="center"/>
        </w:trPr>
        <w:tc>
          <w:tcPr>
            <w:tcW w:w="608" w:type="dxa"/>
            <w:vMerge w:val="continue"/>
            <w:tcBorders>
              <w:tl2br w:val="nil"/>
              <w:tr2bl w:val="nil"/>
            </w:tcBorders>
            <w:vAlign w:val="center"/>
          </w:tcPr>
          <w:p w14:paraId="51B98350">
            <w:pPr>
              <w:autoSpaceDE w:val="0"/>
              <w:autoSpaceDN w:val="0"/>
              <w:adjustRightInd w:val="0"/>
              <w:snapToGrid w:val="0"/>
              <w:spacing w:line="240" w:lineRule="auto"/>
              <w:jc w:val="center"/>
              <w:rPr>
                <w:rFonts w:ascii="宋体" w:cs="楷体_GB2312"/>
                <w:b/>
                <w:bCs/>
                <w:sz w:val="24"/>
              </w:rPr>
            </w:pPr>
          </w:p>
        </w:tc>
        <w:tc>
          <w:tcPr>
            <w:tcW w:w="923" w:type="dxa"/>
            <w:tcBorders>
              <w:tl2br w:val="nil"/>
              <w:tr2bl w:val="nil"/>
            </w:tcBorders>
            <w:vAlign w:val="center"/>
          </w:tcPr>
          <w:p w14:paraId="01CECF30">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rPr>
              <w:t>6.1</w:t>
            </w:r>
          </w:p>
        </w:tc>
        <w:tc>
          <w:tcPr>
            <w:tcW w:w="2505" w:type="dxa"/>
            <w:tcBorders>
              <w:tl2br w:val="nil"/>
              <w:tr2bl w:val="nil"/>
            </w:tcBorders>
            <w:vAlign w:val="center"/>
          </w:tcPr>
          <w:p w14:paraId="07D98CB8">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谈判小组的组建</w:t>
            </w:r>
          </w:p>
        </w:tc>
        <w:tc>
          <w:tcPr>
            <w:tcW w:w="5820" w:type="dxa"/>
            <w:tcBorders>
              <w:tl2br w:val="nil"/>
              <w:tr2bl w:val="nil"/>
            </w:tcBorders>
            <w:vAlign w:val="center"/>
          </w:tcPr>
          <w:p w14:paraId="26635A7E">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投标人须知”相应条款</w:t>
            </w:r>
          </w:p>
        </w:tc>
      </w:tr>
      <w:tr w14:paraId="1EE563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608" w:type="dxa"/>
            <w:vMerge w:val="restart"/>
            <w:tcBorders>
              <w:tl2br w:val="nil"/>
              <w:tr2bl w:val="nil"/>
            </w:tcBorders>
            <w:vAlign w:val="center"/>
          </w:tcPr>
          <w:p w14:paraId="556D3F32">
            <w:pPr>
              <w:autoSpaceDE w:val="0"/>
              <w:autoSpaceDN w:val="0"/>
              <w:adjustRightInd w:val="0"/>
              <w:snapToGrid w:val="0"/>
              <w:spacing w:line="240" w:lineRule="auto"/>
              <w:jc w:val="center"/>
              <w:rPr>
                <w:rFonts w:ascii="宋体" w:cs="楷体_GB2312"/>
                <w:b/>
                <w:bCs/>
                <w:sz w:val="24"/>
              </w:rPr>
            </w:pPr>
            <w:r>
              <w:rPr>
                <w:rFonts w:hint="eastAsia" w:ascii="宋体" w:hAnsi="宋体" w:cs="楷体_GB2312"/>
                <w:b/>
                <w:bCs/>
                <w:sz w:val="24"/>
              </w:rPr>
              <w:t>第三章</w:t>
            </w:r>
          </w:p>
        </w:tc>
        <w:tc>
          <w:tcPr>
            <w:tcW w:w="923" w:type="dxa"/>
            <w:tcBorders>
              <w:tl2br w:val="nil"/>
              <w:tr2bl w:val="nil"/>
            </w:tcBorders>
            <w:vAlign w:val="center"/>
          </w:tcPr>
          <w:p w14:paraId="67A26EFA">
            <w:pPr>
              <w:autoSpaceDE w:val="0"/>
              <w:autoSpaceDN w:val="0"/>
              <w:adjustRightInd w:val="0"/>
              <w:snapToGrid w:val="0"/>
              <w:spacing w:line="240" w:lineRule="auto"/>
              <w:jc w:val="center"/>
              <w:rPr>
                <w:rFonts w:ascii="宋体" w:hAnsi="宋体" w:eastAsia="宋体" w:cs="楷体_GB2312"/>
                <w:b/>
                <w:bCs/>
                <w:color w:val="auto"/>
                <w:szCs w:val="21"/>
              </w:rPr>
            </w:pPr>
            <w:r>
              <w:rPr>
                <w:rFonts w:ascii="宋体" w:hAnsi="宋体" w:eastAsia="宋体" w:cs="楷体_GB2312"/>
                <w:b/>
                <w:bCs/>
                <w:color w:val="auto"/>
                <w:szCs w:val="21"/>
              </w:rPr>
              <w:t>7.1</w:t>
            </w:r>
          </w:p>
        </w:tc>
        <w:tc>
          <w:tcPr>
            <w:tcW w:w="2505" w:type="dxa"/>
            <w:tcBorders>
              <w:tl2br w:val="nil"/>
              <w:tr2bl w:val="nil"/>
            </w:tcBorders>
            <w:vAlign w:val="center"/>
          </w:tcPr>
          <w:p w14:paraId="39B1622B">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是否授权谈判小组确定成交供应商</w:t>
            </w:r>
          </w:p>
        </w:tc>
        <w:tc>
          <w:tcPr>
            <w:tcW w:w="5820" w:type="dxa"/>
            <w:tcBorders>
              <w:tl2br w:val="nil"/>
              <w:tr2bl w:val="nil"/>
            </w:tcBorders>
            <w:vAlign w:val="center"/>
          </w:tcPr>
          <w:p w14:paraId="6376F6C4">
            <w:pPr>
              <w:adjustRightInd w:val="0"/>
              <w:snapToGrid w:val="0"/>
              <w:spacing w:before="156" w:beforeLines="50" w:line="240" w:lineRule="auto"/>
              <w:rPr>
                <w:rFonts w:hint="eastAsia" w:ascii="宋体" w:hAnsi="宋体"/>
                <w:color w:val="auto"/>
                <w:sz w:val="24"/>
              </w:rPr>
            </w:pPr>
            <w:r>
              <w:rPr>
                <w:rFonts w:hint="eastAsia" w:ascii="宋体" w:hAnsi="宋体"/>
                <w:color w:val="auto"/>
                <w:sz w:val="24"/>
              </w:rPr>
              <w:t>是。谈判小组按照最后报价由低到高的顺序提出</w:t>
            </w:r>
            <w:r>
              <w:rPr>
                <w:rFonts w:ascii="宋体" w:hAnsi="宋体"/>
                <w:color w:val="auto"/>
                <w:sz w:val="24"/>
              </w:rPr>
              <w:t>3</w:t>
            </w:r>
            <w:r>
              <w:rPr>
                <w:rFonts w:hint="eastAsia" w:ascii="宋体" w:hAnsi="宋体"/>
                <w:color w:val="auto"/>
                <w:sz w:val="24"/>
              </w:rPr>
              <w:t>名成交候选人，并确定排名第一的成交候选人为成交供应商。</w:t>
            </w:r>
          </w:p>
          <w:p w14:paraId="71CE3E82">
            <w:pPr>
              <w:adjustRightInd w:val="0"/>
              <w:snapToGrid w:val="0"/>
              <w:spacing w:before="156" w:beforeLines="50" w:line="240" w:lineRule="auto"/>
              <w:rPr>
                <w:rFonts w:hint="eastAsia" w:ascii="宋体" w:hAnsi="宋体"/>
                <w:color w:val="auto"/>
                <w:sz w:val="24"/>
              </w:rPr>
            </w:pPr>
            <w:r>
              <w:rPr>
                <w:rFonts w:hint="eastAsia" w:ascii="宋体" w:hAnsi="宋体"/>
                <w:b/>
                <w:bCs/>
                <w:color w:val="auto"/>
                <w:sz w:val="24"/>
              </w:rPr>
              <w:t>注：本次采购项目供应商可参与多标段（包）投标，为保障服务质量和工作效率，供应商最多中取其中一个标段（包）。</w:t>
            </w:r>
            <w:r>
              <w:rPr>
                <w:rFonts w:hint="eastAsia" w:ascii="宋体" w:hAnsi="宋体"/>
                <w:b/>
                <w:bCs/>
                <w:color w:val="auto"/>
                <w:sz w:val="24"/>
                <w:lang w:val="en-US" w:eastAsia="zh-CN"/>
              </w:rPr>
              <w:t>谈判</w:t>
            </w:r>
            <w:r>
              <w:rPr>
                <w:rFonts w:hint="eastAsia" w:ascii="宋体" w:hAnsi="宋体"/>
                <w:b/>
                <w:bCs/>
                <w:color w:val="auto"/>
                <w:sz w:val="24"/>
              </w:rPr>
              <w:t>小组将按照标段（包）1-2的顺序进行评审，供应商则按标段（包）顺序确定成交标段（包）。</w:t>
            </w:r>
          </w:p>
        </w:tc>
      </w:tr>
      <w:tr w14:paraId="0AE9A2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608" w:type="dxa"/>
            <w:vMerge w:val="continue"/>
            <w:tcBorders>
              <w:tl2br w:val="nil"/>
              <w:tr2bl w:val="nil"/>
            </w:tcBorders>
            <w:vAlign w:val="center"/>
          </w:tcPr>
          <w:p w14:paraId="07E95D13">
            <w:pPr>
              <w:autoSpaceDE w:val="0"/>
              <w:autoSpaceDN w:val="0"/>
              <w:adjustRightInd w:val="0"/>
              <w:snapToGrid w:val="0"/>
              <w:spacing w:line="240" w:lineRule="auto"/>
              <w:jc w:val="center"/>
              <w:rPr>
                <w:rFonts w:ascii="宋体" w:cs="楷体_GB2312"/>
                <w:b/>
                <w:bCs/>
                <w:sz w:val="24"/>
              </w:rPr>
            </w:pPr>
          </w:p>
        </w:tc>
        <w:tc>
          <w:tcPr>
            <w:tcW w:w="923" w:type="dxa"/>
            <w:tcBorders>
              <w:tl2br w:val="nil"/>
              <w:tr2bl w:val="nil"/>
            </w:tcBorders>
            <w:vAlign w:val="center"/>
          </w:tcPr>
          <w:p w14:paraId="71F7E5C1">
            <w:pPr>
              <w:autoSpaceDE w:val="0"/>
              <w:autoSpaceDN w:val="0"/>
              <w:adjustRightInd w:val="0"/>
              <w:snapToGrid w:val="0"/>
              <w:spacing w:line="240" w:lineRule="auto"/>
              <w:jc w:val="center"/>
              <w:rPr>
                <w:rFonts w:ascii="宋体" w:hAnsi="宋体" w:eastAsia="宋体" w:cs="楷体_GB2312"/>
                <w:b/>
                <w:bCs/>
                <w:color w:val="auto"/>
                <w:szCs w:val="21"/>
              </w:rPr>
            </w:pPr>
            <w:r>
              <w:rPr>
                <w:rFonts w:ascii="宋体" w:hAnsi="宋体" w:eastAsia="宋体" w:cs="楷体_GB2312"/>
                <w:b/>
                <w:bCs/>
                <w:color w:val="auto"/>
                <w:szCs w:val="21"/>
              </w:rPr>
              <w:t>7.2</w:t>
            </w:r>
          </w:p>
        </w:tc>
        <w:tc>
          <w:tcPr>
            <w:tcW w:w="2505" w:type="dxa"/>
            <w:tcBorders>
              <w:tl2br w:val="nil"/>
              <w:tr2bl w:val="nil"/>
            </w:tcBorders>
            <w:vAlign w:val="center"/>
          </w:tcPr>
          <w:p w14:paraId="61F54028">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成交结果公告</w:t>
            </w:r>
          </w:p>
        </w:tc>
        <w:tc>
          <w:tcPr>
            <w:tcW w:w="5820" w:type="dxa"/>
            <w:tcBorders>
              <w:tl2br w:val="nil"/>
              <w:tr2bl w:val="nil"/>
            </w:tcBorders>
            <w:vAlign w:val="center"/>
          </w:tcPr>
          <w:p w14:paraId="5B6EF2C6">
            <w:pPr>
              <w:adjustRightInd w:val="0"/>
              <w:snapToGrid w:val="0"/>
              <w:spacing w:before="156" w:beforeLines="50" w:line="240" w:lineRule="auto"/>
              <w:rPr>
                <w:rFonts w:ascii="宋体" w:hAnsi="宋体"/>
                <w:color w:val="auto"/>
                <w:sz w:val="24"/>
              </w:rPr>
            </w:pPr>
            <w:r>
              <w:rPr>
                <w:rFonts w:hint="eastAsia" w:ascii="宋体" w:hAnsi="宋体"/>
                <w:color w:val="auto"/>
                <w:sz w:val="24"/>
              </w:rPr>
              <w:t>本次竞争性谈判的成交结果将在成交供应商确定当天即时在谈判公告所述媒介公告</w:t>
            </w:r>
            <w:r>
              <w:rPr>
                <w:rFonts w:ascii="宋体" w:hAnsi="宋体"/>
                <w:color w:val="auto"/>
                <w:sz w:val="24"/>
              </w:rPr>
              <w:t>1</w:t>
            </w:r>
            <w:r>
              <w:rPr>
                <w:rFonts w:hint="eastAsia" w:ascii="宋体" w:hAnsi="宋体"/>
                <w:color w:val="auto"/>
                <w:sz w:val="24"/>
              </w:rPr>
              <w:t>个工作日。</w:t>
            </w:r>
          </w:p>
        </w:tc>
      </w:tr>
      <w:tr w14:paraId="4E3D3E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608" w:type="dxa"/>
            <w:vMerge w:val="continue"/>
            <w:tcBorders>
              <w:tl2br w:val="nil"/>
              <w:tr2bl w:val="nil"/>
            </w:tcBorders>
            <w:vAlign w:val="center"/>
          </w:tcPr>
          <w:p w14:paraId="40065B6A">
            <w:pPr>
              <w:autoSpaceDE w:val="0"/>
              <w:autoSpaceDN w:val="0"/>
              <w:adjustRightInd w:val="0"/>
              <w:snapToGrid w:val="0"/>
              <w:spacing w:line="240" w:lineRule="auto"/>
              <w:jc w:val="center"/>
              <w:rPr>
                <w:rFonts w:ascii="宋体" w:cs="楷体_GB2312"/>
                <w:b/>
                <w:bCs/>
                <w:color w:val="339966"/>
                <w:sz w:val="24"/>
              </w:rPr>
            </w:pPr>
          </w:p>
        </w:tc>
        <w:tc>
          <w:tcPr>
            <w:tcW w:w="923" w:type="dxa"/>
            <w:tcBorders>
              <w:tl2br w:val="nil"/>
              <w:tr2bl w:val="nil"/>
            </w:tcBorders>
            <w:vAlign w:val="center"/>
          </w:tcPr>
          <w:p w14:paraId="56C674D6">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7.3</w:t>
            </w:r>
          </w:p>
        </w:tc>
        <w:tc>
          <w:tcPr>
            <w:tcW w:w="2505" w:type="dxa"/>
            <w:tcBorders>
              <w:tl2br w:val="nil"/>
              <w:tr2bl w:val="nil"/>
            </w:tcBorders>
            <w:vAlign w:val="center"/>
          </w:tcPr>
          <w:p w14:paraId="5304FF00">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质疑、投诉</w:t>
            </w:r>
          </w:p>
        </w:tc>
        <w:tc>
          <w:tcPr>
            <w:tcW w:w="5820" w:type="dxa"/>
            <w:tcBorders>
              <w:tl2br w:val="nil"/>
              <w:tr2bl w:val="nil"/>
            </w:tcBorders>
            <w:vAlign w:val="center"/>
          </w:tcPr>
          <w:p w14:paraId="03BB5EFE">
            <w:pPr>
              <w:adjustRightInd w:val="0"/>
              <w:snapToGrid w:val="0"/>
              <w:spacing w:before="156" w:beforeLines="50" w:line="240" w:lineRule="auto"/>
              <w:rPr>
                <w:rFonts w:ascii="宋体"/>
                <w:sz w:val="24"/>
              </w:rPr>
            </w:pPr>
            <w:r>
              <w:rPr>
                <w:rFonts w:hint="eastAsia" w:ascii="宋体" w:hAnsi="宋体"/>
                <w:color w:val="auto"/>
                <w:sz w:val="24"/>
              </w:rPr>
              <w:t>参与本次采购活动的供应商如有异议，可在各环节法定质疑期内向采购代理机构一次性提出针对该采购程序环节的纸质书面质疑函，书面原件送达至</w:t>
            </w:r>
            <w:r>
              <w:rPr>
                <w:rFonts w:hint="eastAsia" w:ascii="宋体" w:hAnsi="宋体"/>
                <w:color w:val="auto"/>
                <w:sz w:val="24"/>
                <w:lang w:eastAsia="zh-CN"/>
              </w:rPr>
              <w:t>《谈判文件》</w:t>
            </w:r>
            <w:r>
              <w:rPr>
                <w:rFonts w:hint="eastAsia" w:ascii="宋体" w:hAnsi="宋体"/>
                <w:color w:val="auto"/>
                <w:sz w:val="24"/>
              </w:rPr>
              <w:t>列示的采购代理机构及采购人联系人处；依据法规规定，质疑函应当有明确的请求和必要的证明材料，应当包括下列内容：1</w:t>
            </w:r>
            <w:r>
              <w:rPr>
                <w:rFonts w:hint="eastAsia" w:ascii="宋体" w:hAnsi="宋体"/>
                <w:color w:val="auto"/>
                <w:sz w:val="24"/>
                <w:lang w:val="en-US" w:eastAsia="zh-CN"/>
              </w:rPr>
              <w:t>.</w:t>
            </w:r>
            <w:r>
              <w:rPr>
                <w:rFonts w:hint="eastAsia" w:ascii="宋体" w:hAnsi="宋体"/>
                <w:color w:val="auto"/>
                <w:sz w:val="24"/>
              </w:rPr>
              <w:t>供应商的姓名或者名称、地址、邮编、联系人及联系电话；2</w:t>
            </w:r>
            <w:r>
              <w:rPr>
                <w:rFonts w:hint="eastAsia" w:ascii="宋体" w:hAnsi="宋体"/>
                <w:color w:val="auto"/>
                <w:sz w:val="24"/>
                <w:lang w:val="en-US" w:eastAsia="zh-CN"/>
              </w:rPr>
              <w:t>.</w:t>
            </w:r>
            <w:r>
              <w:rPr>
                <w:rFonts w:hint="eastAsia" w:ascii="宋体" w:hAnsi="宋体"/>
                <w:color w:val="auto"/>
                <w:sz w:val="24"/>
              </w:rPr>
              <w:t>质疑项目的名称、编号；3</w:t>
            </w:r>
            <w:r>
              <w:rPr>
                <w:rFonts w:hint="eastAsia" w:ascii="宋体" w:hAnsi="宋体"/>
                <w:color w:val="auto"/>
                <w:sz w:val="24"/>
                <w:lang w:val="en-US" w:eastAsia="zh-CN"/>
              </w:rPr>
              <w:t>.</w:t>
            </w:r>
            <w:r>
              <w:rPr>
                <w:rFonts w:hint="eastAsia" w:ascii="宋体" w:hAnsi="宋体"/>
                <w:color w:val="auto"/>
                <w:sz w:val="24"/>
              </w:rPr>
              <w:t>具体、明确的质疑事项和与质疑事项相关的请求；4</w:t>
            </w:r>
            <w:r>
              <w:rPr>
                <w:rFonts w:hint="eastAsia" w:ascii="宋体" w:hAnsi="宋体"/>
                <w:color w:val="auto"/>
                <w:sz w:val="24"/>
                <w:lang w:val="en-US" w:eastAsia="zh-CN"/>
              </w:rPr>
              <w:t>.</w:t>
            </w:r>
            <w:r>
              <w:rPr>
                <w:rFonts w:hint="eastAsia" w:ascii="宋体" w:hAnsi="宋体"/>
                <w:color w:val="auto"/>
                <w:sz w:val="24"/>
              </w:rPr>
              <w:t>事实依据；5</w:t>
            </w:r>
            <w:r>
              <w:rPr>
                <w:rFonts w:hint="eastAsia" w:ascii="宋体" w:hAnsi="宋体"/>
                <w:color w:val="auto"/>
                <w:sz w:val="24"/>
                <w:lang w:val="en-US" w:eastAsia="zh-CN"/>
              </w:rPr>
              <w:t>.</w:t>
            </w:r>
            <w:r>
              <w:rPr>
                <w:rFonts w:hint="eastAsia" w:ascii="宋体" w:hAnsi="宋体"/>
                <w:color w:val="auto"/>
                <w:sz w:val="24"/>
              </w:rPr>
              <w:t>必要的法律依据；6</w:t>
            </w:r>
            <w:r>
              <w:rPr>
                <w:rFonts w:hint="eastAsia" w:ascii="宋体" w:hAnsi="宋体"/>
                <w:color w:val="auto"/>
                <w:sz w:val="24"/>
                <w:lang w:val="en-US" w:eastAsia="zh-CN"/>
              </w:rPr>
              <w:t>.</w:t>
            </w:r>
            <w:r>
              <w:rPr>
                <w:rFonts w:hint="eastAsia" w:ascii="宋体" w:hAnsi="宋体"/>
                <w:color w:val="auto"/>
                <w:sz w:val="24"/>
              </w:rPr>
              <w:t>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14:paraId="48E19E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608" w:type="dxa"/>
            <w:vMerge w:val="continue"/>
            <w:tcBorders>
              <w:tl2br w:val="nil"/>
              <w:tr2bl w:val="nil"/>
            </w:tcBorders>
            <w:vAlign w:val="center"/>
          </w:tcPr>
          <w:p w14:paraId="02A04029">
            <w:pPr>
              <w:autoSpaceDE w:val="0"/>
              <w:autoSpaceDN w:val="0"/>
              <w:adjustRightInd w:val="0"/>
              <w:snapToGrid w:val="0"/>
              <w:spacing w:line="240" w:lineRule="auto"/>
              <w:jc w:val="center"/>
              <w:rPr>
                <w:rFonts w:ascii="宋体" w:cs="楷体_GB2312"/>
                <w:b/>
                <w:bCs/>
                <w:color w:val="339966"/>
                <w:sz w:val="24"/>
              </w:rPr>
            </w:pPr>
          </w:p>
        </w:tc>
        <w:tc>
          <w:tcPr>
            <w:tcW w:w="923" w:type="dxa"/>
            <w:tcBorders>
              <w:tl2br w:val="nil"/>
              <w:tr2bl w:val="nil"/>
            </w:tcBorders>
            <w:vAlign w:val="center"/>
          </w:tcPr>
          <w:p w14:paraId="47964237">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7.4</w:t>
            </w:r>
          </w:p>
        </w:tc>
        <w:tc>
          <w:tcPr>
            <w:tcW w:w="2505" w:type="dxa"/>
            <w:tcBorders>
              <w:tl2br w:val="nil"/>
              <w:tr2bl w:val="nil"/>
            </w:tcBorders>
            <w:vAlign w:val="center"/>
          </w:tcPr>
          <w:p w14:paraId="3FE03098">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成交通知书</w:t>
            </w:r>
          </w:p>
        </w:tc>
        <w:tc>
          <w:tcPr>
            <w:tcW w:w="5820" w:type="dxa"/>
            <w:tcBorders>
              <w:tl2br w:val="nil"/>
              <w:tr2bl w:val="nil"/>
            </w:tcBorders>
            <w:vAlign w:val="center"/>
          </w:tcPr>
          <w:p w14:paraId="52965CFD">
            <w:pPr>
              <w:adjustRightInd w:val="0"/>
              <w:snapToGrid w:val="0"/>
              <w:spacing w:before="156" w:beforeLines="50" w:line="240" w:lineRule="auto"/>
              <w:rPr>
                <w:rFonts w:ascii="宋体" w:hAnsi="宋体" w:cs="楷体_GB2312"/>
                <w:color w:val="auto"/>
                <w:sz w:val="24"/>
                <w:lang w:val="zh-CN"/>
              </w:rPr>
            </w:pPr>
            <w:r>
              <w:rPr>
                <w:rFonts w:hint="eastAsia" w:ascii="宋体" w:hAnsi="宋体" w:cs="楷体_GB2312"/>
                <w:color w:val="auto"/>
                <w:sz w:val="24"/>
                <w:lang w:val="zh-CN"/>
              </w:rPr>
              <w:t>采购代理机构在成交供应商确定当天即时向成交供应商发出成交通知书。成交供应商应凭缴费凭证及时领取成交通知书。</w:t>
            </w:r>
          </w:p>
        </w:tc>
      </w:tr>
      <w:tr w14:paraId="778060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608" w:type="dxa"/>
            <w:vMerge w:val="restart"/>
            <w:tcBorders>
              <w:tl2br w:val="nil"/>
              <w:tr2bl w:val="nil"/>
            </w:tcBorders>
            <w:vAlign w:val="center"/>
          </w:tcPr>
          <w:p w14:paraId="28EF49E8">
            <w:pPr>
              <w:autoSpaceDE w:val="0"/>
              <w:autoSpaceDN w:val="0"/>
              <w:adjustRightInd w:val="0"/>
              <w:snapToGrid w:val="0"/>
              <w:spacing w:line="240" w:lineRule="auto"/>
              <w:jc w:val="center"/>
              <w:rPr>
                <w:rFonts w:ascii="宋体" w:cs="楷体_GB2312"/>
                <w:b/>
                <w:bCs/>
                <w:color w:val="FF0000"/>
                <w:sz w:val="24"/>
                <w:lang w:val="zh-CN"/>
              </w:rPr>
            </w:pPr>
            <w:r>
              <w:rPr>
                <w:rFonts w:hint="eastAsia" w:ascii="宋体" w:hAnsi="宋体" w:cs="楷体_GB2312"/>
                <w:b/>
                <w:bCs/>
                <w:color w:val="auto"/>
                <w:sz w:val="24"/>
                <w:lang w:val="zh-CN"/>
              </w:rPr>
              <w:t>第三章</w:t>
            </w:r>
          </w:p>
        </w:tc>
        <w:tc>
          <w:tcPr>
            <w:tcW w:w="923" w:type="dxa"/>
            <w:tcBorders>
              <w:tl2br w:val="nil"/>
              <w:tr2bl w:val="nil"/>
            </w:tcBorders>
            <w:vAlign w:val="center"/>
          </w:tcPr>
          <w:p w14:paraId="442D09EE">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7.5</w:t>
            </w:r>
          </w:p>
        </w:tc>
        <w:tc>
          <w:tcPr>
            <w:tcW w:w="2505" w:type="dxa"/>
            <w:tcBorders>
              <w:tl2br w:val="nil"/>
              <w:tr2bl w:val="nil"/>
            </w:tcBorders>
            <w:vAlign w:val="center"/>
          </w:tcPr>
          <w:p w14:paraId="0029D18D">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履约保证金</w:t>
            </w:r>
          </w:p>
        </w:tc>
        <w:tc>
          <w:tcPr>
            <w:tcW w:w="5820" w:type="dxa"/>
            <w:tcBorders>
              <w:tl2br w:val="nil"/>
              <w:tr2bl w:val="nil"/>
            </w:tcBorders>
            <w:vAlign w:val="center"/>
          </w:tcPr>
          <w:p w14:paraId="6C15519B">
            <w:pPr>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en-US" w:eastAsia="zh-CN"/>
              </w:rPr>
              <w:t>不需缴纳</w:t>
            </w:r>
          </w:p>
        </w:tc>
      </w:tr>
      <w:tr w14:paraId="500453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608" w:type="dxa"/>
            <w:vMerge w:val="continue"/>
            <w:tcBorders>
              <w:tl2br w:val="nil"/>
              <w:tr2bl w:val="nil"/>
            </w:tcBorders>
            <w:vAlign w:val="center"/>
          </w:tcPr>
          <w:p w14:paraId="216FA8A9">
            <w:pPr>
              <w:autoSpaceDE w:val="0"/>
              <w:autoSpaceDN w:val="0"/>
              <w:adjustRightInd w:val="0"/>
              <w:snapToGrid w:val="0"/>
              <w:spacing w:line="240" w:lineRule="auto"/>
              <w:jc w:val="center"/>
              <w:rPr>
                <w:rFonts w:ascii="宋体" w:cs="楷体_GB2312"/>
                <w:b/>
                <w:bCs/>
                <w:color w:val="FF0000"/>
                <w:sz w:val="24"/>
                <w:lang w:val="zh-CN"/>
              </w:rPr>
            </w:pPr>
          </w:p>
        </w:tc>
        <w:tc>
          <w:tcPr>
            <w:tcW w:w="923" w:type="dxa"/>
            <w:tcBorders>
              <w:tl2br w:val="nil"/>
              <w:tr2bl w:val="nil"/>
            </w:tcBorders>
            <w:vAlign w:val="center"/>
          </w:tcPr>
          <w:p w14:paraId="2BE363B0">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8</w:t>
            </w:r>
          </w:p>
        </w:tc>
        <w:tc>
          <w:tcPr>
            <w:tcW w:w="2505" w:type="dxa"/>
            <w:tcBorders>
              <w:tl2br w:val="nil"/>
              <w:tr2bl w:val="nil"/>
            </w:tcBorders>
            <w:vAlign w:val="center"/>
          </w:tcPr>
          <w:p w14:paraId="0419CCF8">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验收</w:t>
            </w:r>
          </w:p>
        </w:tc>
        <w:tc>
          <w:tcPr>
            <w:tcW w:w="5820" w:type="dxa"/>
            <w:tcBorders>
              <w:tl2br w:val="nil"/>
              <w:tr2bl w:val="nil"/>
            </w:tcBorders>
            <w:vAlign w:val="center"/>
          </w:tcPr>
          <w:p w14:paraId="7D1B90B5">
            <w:pPr>
              <w:widowControl w:val="0"/>
              <w:snapToGrid w:val="0"/>
              <w:spacing w:before="156" w:beforeLines="50" w:line="240" w:lineRule="auto"/>
              <w:rPr>
                <w:color w:val="auto"/>
                <w:sz w:val="24"/>
                <w:szCs w:val="24"/>
              </w:rPr>
            </w:pPr>
            <w:r>
              <w:rPr>
                <w:rFonts w:hint="eastAsia"/>
                <w:color w:val="auto"/>
                <w:sz w:val="24"/>
                <w:szCs w:val="24"/>
              </w:rPr>
              <w:t>见“第三章</w:t>
            </w:r>
            <w:r>
              <w:rPr>
                <w:rFonts w:hint="eastAsia"/>
                <w:color w:val="auto"/>
                <w:sz w:val="24"/>
                <w:szCs w:val="24"/>
                <w:lang w:val="en-US" w:eastAsia="zh-CN"/>
              </w:rPr>
              <w:t xml:space="preserve"> </w:t>
            </w:r>
            <w:r>
              <w:rPr>
                <w:rFonts w:hint="eastAsia"/>
                <w:color w:val="auto"/>
                <w:sz w:val="24"/>
                <w:szCs w:val="24"/>
              </w:rPr>
              <w:t>投标人须知”相应条款</w:t>
            </w:r>
          </w:p>
        </w:tc>
      </w:tr>
      <w:tr w14:paraId="60E5EA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608" w:type="dxa"/>
            <w:vMerge w:val="continue"/>
            <w:tcBorders>
              <w:tl2br w:val="nil"/>
              <w:tr2bl w:val="nil"/>
            </w:tcBorders>
            <w:vAlign w:val="center"/>
          </w:tcPr>
          <w:p w14:paraId="438FCE2E">
            <w:pPr>
              <w:autoSpaceDE w:val="0"/>
              <w:autoSpaceDN w:val="0"/>
              <w:adjustRightInd w:val="0"/>
              <w:spacing w:line="240" w:lineRule="auto"/>
              <w:jc w:val="center"/>
              <w:rPr>
                <w:rFonts w:ascii="宋体" w:cs="楷体_GB2312"/>
                <w:b/>
                <w:bCs/>
                <w:color w:val="339966"/>
                <w:sz w:val="24"/>
              </w:rPr>
            </w:pPr>
          </w:p>
        </w:tc>
        <w:tc>
          <w:tcPr>
            <w:tcW w:w="923" w:type="dxa"/>
            <w:tcBorders>
              <w:tl2br w:val="nil"/>
              <w:tr2bl w:val="nil"/>
            </w:tcBorders>
            <w:vAlign w:val="center"/>
          </w:tcPr>
          <w:p w14:paraId="40447D05">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9</w:t>
            </w:r>
          </w:p>
        </w:tc>
        <w:tc>
          <w:tcPr>
            <w:tcW w:w="2505" w:type="dxa"/>
            <w:tcBorders>
              <w:tl2br w:val="nil"/>
              <w:tr2bl w:val="nil"/>
            </w:tcBorders>
            <w:vAlign w:val="center"/>
          </w:tcPr>
          <w:p w14:paraId="77C61961">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付款</w:t>
            </w:r>
          </w:p>
        </w:tc>
        <w:tc>
          <w:tcPr>
            <w:tcW w:w="5820" w:type="dxa"/>
            <w:tcBorders>
              <w:tl2br w:val="nil"/>
              <w:tr2bl w:val="nil"/>
            </w:tcBorders>
            <w:vAlign w:val="center"/>
          </w:tcPr>
          <w:p w14:paraId="482D9059">
            <w:pPr>
              <w:adjustRightInd w:val="0"/>
              <w:snapToGrid w:val="0"/>
              <w:spacing w:before="120" w:beforeLines="50" w:line="240" w:lineRule="auto"/>
              <w:ind w:firstLine="480" w:firstLineChars="200"/>
              <w:rPr>
                <w:rFonts w:hint="eastAsia" w:ascii="宋体" w:hAnsi="宋体" w:cs="楷体_GB2312"/>
                <w:color w:val="auto"/>
                <w:sz w:val="24"/>
                <w:highlight w:val="none"/>
                <w:lang w:val="zh-CN"/>
              </w:rPr>
            </w:pPr>
            <w:bookmarkStart w:id="25" w:name="OLE_LINK11"/>
            <w:r>
              <w:rPr>
                <w:rFonts w:hint="eastAsia" w:ascii="宋体" w:hAnsi="宋体" w:cs="楷体_GB2312"/>
                <w:color w:val="auto"/>
                <w:sz w:val="24"/>
                <w:highlight w:val="none"/>
                <w:lang w:val="zh-CN"/>
              </w:rPr>
              <w:t>为优化政府采购营商环境，根据安财购﹝2019﹞8号文件落实政府采购预付款的规定，采购人可在政府采购合同履约前向成交供应商预付30%的合同资金，成交供应商应向采购人提交预付款保函，未提供保函的，视同其放弃项目预付款的支付。</w:t>
            </w:r>
          </w:p>
          <w:p w14:paraId="1D56499D">
            <w:pPr>
              <w:adjustRightInd w:val="0"/>
              <w:snapToGrid w:val="0"/>
              <w:spacing w:before="120" w:beforeLines="50" w:line="240" w:lineRule="auto"/>
              <w:ind w:firstLine="480" w:firstLineChars="200"/>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为进一步优化营商环境，根据安财购﹝2022﹞8号文件落实政府采购中小企业预付款的规定，采购人可在政府采购合同签订后，向成交供应商原则上预付不低于合同金额50%的预付款，成交供应商应向采购人提交预付款保函，未提供保函的，视同其放弃项目预付款的支付。</w:t>
            </w:r>
          </w:p>
          <w:p w14:paraId="2F66FA81">
            <w:pPr>
              <w:ind w:firstLine="352" w:firstLineChars="147"/>
              <w:rPr>
                <w:color w:val="auto"/>
                <w:sz w:val="24"/>
                <w:szCs w:val="24"/>
                <w:highlight w:val="yellow"/>
              </w:rPr>
            </w:pPr>
            <w:r>
              <w:rPr>
                <w:rFonts w:hint="eastAsia" w:ascii="宋体" w:hAnsi="宋体" w:cs="楷体_GB2312"/>
                <w:color w:val="auto"/>
                <w:sz w:val="24"/>
                <w:highlight w:val="none"/>
                <w:lang w:val="zh-CN"/>
              </w:rPr>
              <w:t>网上提交支付申请后，凭借网上打印的《殷都区政府采购资金申请表》，经采购人盖章后，作为付款依据，由采购人根据</w:t>
            </w:r>
            <w:r>
              <w:rPr>
                <w:rFonts w:hint="eastAsia" w:ascii="宋体" w:hAnsi="宋体" w:cs="楷体_GB2312"/>
                <w:color w:val="auto"/>
                <w:sz w:val="24"/>
                <w:highlight w:val="none"/>
                <w:lang w:val="zh-CN" w:eastAsia="zh-CN"/>
              </w:rPr>
              <w:t>合同履行期限内项目实际发生额、据实结算</w:t>
            </w:r>
            <w:r>
              <w:rPr>
                <w:rFonts w:hint="eastAsia" w:ascii="宋体" w:hAnsi="宋体" w:cs="楷体_GB2312"/>
                <w:color w:val="auto"/>
                <w:sz w:val="24"/>
                <w:highlight w:val="none"/>
                <w:lang w:val="zh-CN"/>
              </w:rPr>
              <w:t>。</w:t>
            </w:r>
            <w:bookmarkEnd w:id="25"/>
          </w:p>
        </w:tc>
      </w:tr>
      <w:tr w14:paraId="76DDCA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608" w:type="dxa"/>
            <w:tcBorders>
              <w:tl2br w:val="nil"/>
              <w:tr2bl w:val="nil"/>
            </w:tcBorders>
            <w:vAlign w:val="center"/>
          </w:tcPr>
          <w:p w14:paraId="0B921498">
            <w:pPr>
              <w:autoSpaceDE w:val="0"/>
              <w:autoSpaceDN w:val="0"/>
              <w:adjustRightInd w:val="0"/>
              <w:spacing w:line="240" w:lineRule="auto"/>
              <w:jc w:val="center"/>
              <w:rPr>
                <w:rFonts w:ascii="宋体" w:cs="楷体_GB2312"/>
                <w:b/>
                <w:bCs/>
                <w:color w:val="339966"/>
                <w:sz w:val="24"/>
              </w:rPr>
            </w:pPr>
          </w:p>
        </w:tc>
        <w:tc>
          <w:tcPr>
            <w:tcW w:w="923" w:type="dxa"/>
            <w:tcBorders>
              <w:tl2br w:val="nil"/>
              <w:tr2bl w:val="nil"/>
            </w:tcBorders>
            <w:vAlign w:val="center"/>
          </w:tcPr>
          <w:p w14:paraId="6ED94921">
            <w:pPr>
              <w:autoSpaceDE w:val="0"/>
              <w:autoSpaceDN w:val="0"/>
              <w:adjustRightInd w:val="0"/>
              <w:snapToGrid w:val="0"/>
              <w:spacing w:line="240" w:lineRule="auto"/>
              <w:jc w:val="center"/>
              <w:rPr>
                <w:rFonts w:ascii="宋体" w:hAnsi="宋体" w:eastAsia="宋体" w:cs="楷体_GB2312"/>
                <w:b/>
                <w:bCs/>
                <w:color w:val="auto"/>
                <w:szCs w:val="21"/>
                <w:lang w:val="zh-CN"/>
              </w:rPr>
            </w:pPr>
            <w:r>
              <w:rPr>
                <w:rFonts w:ascii="宋体" w:hAnsi="宋体" w:eastAsia="宋体" w:cs="楷体_GB2312"/>
                <w:b/>
                <w:bCs/>
                <w:color w:val="auto"/>
                <w:szCs w:val="21"/>
                <w:lang w:val="zh-CN"/>
              </w:rPr>
              <w:t>10.1</w:t>
            </w:r>
          </w:p>
        </w:tc>
        <w:tc>
          <w:tcPr>
            <w:tcW w:w="2505" w:type="dxa"/>
            <w:tcBorders>
              <w:tl2br w:val="nil"/>
              <w:tr2bl w:val="nil"/>
            </w:tcBorders>
            <w:vAlign w:val="center"/>
          </w:tcPr>
          <w:p w14:paraId="60217F65">
            <w:pPr>
              <w:autoSpaceDE w:val="0"/>
              <w:autoSpaceDN w:val="0"/>
              <w:adjustRightInd w:val="0"/>
              <w:snapToGrid w:val="0"/>
              <w:spacing w:line="240" w:lineRule="auto"/>
              <w:jc w:val="center"/>
              <w:rPr>
                <w:rFonts w:hint="eastAsia" w:ascii="宋体" w:hAnsi="宋体" w:eastAsia="宋体" w:cs="楷体_GB2312"/>
                <w:b/>
                <w:bCs/>
                <w:color w:val="auto"/>
                <w:sz w:val="24"/>
                <w:lang w:val="zh-CN"/>
              </w:rPr>
            </w:pPr>
            <w:r>
              <w:rPr>
                <w:rFonts w:hint="eastAsia" w:ascii="宋体" w:hAnsi="宋体" w:eastAsia="宋体" w:cs="楷体_GB2312"/>
                <w:b/>
                <w:bCs/>
                <w:color w:val="auto"/>
                <w:sz w:val="24"/>
                <w:lang w:val="zh-CN"/>
              </w:rPr>
              <w:t>代理服务费</w:t>
            </w:r>
          </w:p>
        </w:tc>
        <w:tc>
          <w:tcPr>
            <w:tcW w:w="5820" w:type="dxa"/>
            <w:tcBorders>
              <w:tl2br w:val="nil"/>
              <w:tr2bl w:val="nil"/>
            </w:tcBorders>
            <w:vAlign w:val="center"/>
          </w:tcPr>
          <w:p w14:paraId="1500DAEF">
            <w:pPr>
              <w:adjustRightInd w:val="0"/>
              <w:snapToGrid w:val="0"/>
              <w:spacing w:before="156" w:beforeLines="50" w:line="240" w:lineRule="auto"/>
              <w:rPr>
                <w:rFonts w:hint="default" w:ascii="宋体" w:hAnsi="宋体" w:eastAsia="宋体"/>
                <w:color w:val="auto"/>
                <w:sz w:val="24"/>
                <w:lang w:val="en-US" w:eastAsia="zh-CN"/>
              </w:rPr>
            </w:pPr>
            <w:r>
              <w:rPr>
                <w:rFonts w:hint="eastAsia" w:ascii="宋体" w:hAnsi="宋体"/>
                <w:color w:val="auto"/>
                <w:sz w:val="24"/>
                <w:highlight w:val="none"/>
              </w:rPr>
              <w:t>参照国家计委《招标代理服务收费管理暂行办法》（计价格【</w:t>
            </w:r>
            <w:r>
              <w:rPr>
                <w:rFonts w:ascii="宋体" w:hAnsi="宋体"/>
                <w:color w:val="auto"/>
                <w:sz w:val="24"/>
                <w:highlight w:val="none"/>
              </w:rPr>
              <w:t>2002</w:t>
            </w:r>
            <w:r>
              <w:rPr>
                <w:rFonts w:hint="eastAsia" w:ascii="宋体" w:hAnsi="宋体"/>
                <w:color w:val="auto"/>
                <w:sz w:val="24"/>
                <w:highlight w:val="none"/>
              </w:rPr>
              <w:t>】</w:t>
            </w:r>
            <w:r>
              <w:rPr>
                <w:rFonts w:ascii="宋体" w:hAnsi="宋体"/>
                <w:color w:val="auto"/>
                <w:sz w:val="24"/>
                <w:highlight w:val="none"/>
              </w:rPr>
              <w:t>1980</w:t>
            </w:r>
            <w:r>
              <w:rPr>
                <w:rFonts w:hint="eastAsia" w:ascii="宋体" w:hAnsi="宋体"/>
                <w:color w:val="auto"/>
                <w:sz w:val="24"/>
                <w:highlight w:val="none"/>
              </w:rPr>
              <w:t>号）、《国家发展和改革委员会办公厅关于招标代理服务费有关问题的通知》（发改办价格【</w:t>
            </w:r>
            <w:r>
              <w:rPr>
                <w:rFonts w:ascii="宋体" w:hAnsi="宋体"/>
                <w:color w:val="auto"/>
                <w:sz w:val="24"/>
                <w:highlight w:val="none"/>
              </w:rPr>
              <w:t>2003</w:t>
            </w:r>
            <w:r>
              <w:rPr>
                <w:rFonts w:hint="eastAsia" w:ascii="宋体" w:hAnsi="宋体"/>
                <w:color w:val="auto"/>
                <w:sz w:val="24"/>
                <w:highlight w:val="none"/>
              </w:rPr>
              <w:t>】</w:t>
            </w:r>
            <w:r>
              <w:rPr>
                <w:rFonts w:ascii="宋体" w:hAnsi="宋体"/>
                <w:color w:val="auto"/>
                <w:sz w:val="24"/>
                <w:highlight w:val="none"/>
              </w:rPr>
              <w:t>857</w:t>
            </w:r>
            <w:r>
              <w:rPr>
                <w:rFonts w:hint="eastAsia" w:ascii="宋体" w:hAnsi="宋体"/>
                <w:color w:val="auto"/>
                <w:sz w:val="24"/>
                <w:highlight w:val="none"/>
              </w:rPr>
              <w:t>号）及发改价格【</w:t>
            </w:r>
            <w:r>
              <w:rPr>
                <w:rFonts w:ascii="宋体" w:hAnsi="宋体"/>
                <w:color w:val="auto"/>
                <w:sz w:val="24"/>
                <w:highlight w:val="none"/>
              </w:rPr>
              <w:t>2011</w:t>
            </w:r>
            <w:r>
              <w:rPr>
                <w:rFonts w:hint="eastAsia" w:ascii="宋体" w:hAnsi="宋体"/>
                <w:color w:val="auto"/>
                <w:sz w:val="24"/>
                <w:highlight w:val="none"/>
              </w:rPr>
              <w:t>】</w:t>
            </w:r>
            <w:r>
              <w:rPr>
                <w:rFonts w:ascii="宋体" w:hAnsi="宋体"/>
                <w:color w:val="auto"/>
                <w:sz w:val="24"/>
                <w:highlight w:val="none"/>
              </w:rPr>
              <w:t>534</w:t>
            </w:r>
            <w:r>
              <w:rPr>
                <w:rFonts w:hint="eastAsia" w:ascii="宋体" w:hAnsi="宋体"/>
                <w:color w:val="auto"/>
                <w:sz w:val="24"/>
                <w:highlight w:val="none"/>
              </w:rPr>
              <w:t>号文件的规定，招标代理服务费由中标（成交）供应商</w:t>
            </w:r>
            <w:r>
              <w:rPr>
                <w:rFonts w:hint="eastAsia" w:ascii="宋体" w:hAnsi="宋体"/>
                <w:color w:val="auto"/>
                <w:sz w:val="24"/>
                <w:highlight w:val="none"/>
                <w:lang w:val="en-US" w:eastAsia="zh-CN"/>
              </w:rPr>
              <w:t>按预算金额的1.1％向采购代理机构</w:t>
            </w:r>
            <w:r>
              <w:rPr>
                <w:rFonts w:hint="eastAsia" w:ascii="宋体" w:hAnsi="宋体"/>
                <w:color w:val="auto"/>
                <w:sz w:val="24"/>
                <w:highlight w:val="none"/>
              </w:rPr>
              <w:t>支付。</w:t>
            </w:r>
            <w:r>
              <w:rPr>
                <w:rFonts w:hint="eastAsia" w:ascii="宋体" w:hAnsi="宋体"/>
                <w:color w:val="auto"/>
                <w:sz w:val="24"/>
                <w:highlight w:val="none"/>
                <w:lang w:val="en-US" w:eastAsia="zh-CN"/>
              </w:rPr>
              <w:t>包1共计人民币5060元、包2共计人民币4950元。</w:t>
            </w:r>
          </w:p>
        </w:tc>
      </w:tr>
    </w:tbl>
    <w:p w14:paraId="45979D26">
      <w:pPr>
        <w:autoSpaceDE w:val="0"/>
        <w:autoSpaceDN w:val="0"/>
        <w:adjustRightInd w:val="0"/>
        <w:spacing w:line="360" w:lineRule="auto"/>
        <w:rPr>
          <w:rFonts w:hint="eastAsia" w:asciiTheme="minorEastAsia" w:hAnsiTheme="minorEastAsia" w:eastAsiaTheme="minorEastAsia" w:cstheme="minorEastAsia"/>
        </w:rPr>
      </w:pPr>
    </w:p>
    <w:p w14:paraId="5F85F10F">
      <w:pPr>
        <w:autoSpaceDE w:val="0"/>
        <w:autoSpaceDN w:val="0"/>
        <w:adjustRightInd w:val="0"/>
        <w:snapToGrid w:val="0"/>
        <w:spacing w:before="156" w:beforeLines="50" w:line="300" w:lineRule="auto"/>
        <w:ind w:firstLine="539"/>
        <w:outlineLvl w:val="1"/>
        <w:rPr>
          <w:rFonts w:hint="eastAsia" w:asciiTheme="minorEastAsia" w:hAnsiTheme="minorEastAsia" w:eastAsiaTheme="minorEastAsia" w:cstheme="minorEastAsia"/>
          <w:b/>
          <w:bCs/>
          <w:color w:val="auto"/>
          <w:sz w:val="28"/>
          <w:szCs w:val="28"/>
          <w:lang w:val="zh-CN"/>
        </w:rPr>
      </w:pPr>
    </w:p>
    <w:p w14:paraId="6C7FD99B">
      <w:pPr>
        <w:autoSpaceDE w:val="0"/>
        <w:autoSpaceDN w:val="0"/>
        <w:adjustRightInd w:val="0"/>
        <w:snapToGrid w:val="0"/>
        <w:spacing w:before="156" w:beforeLines="50" w:line="300" w:lineRule="auto"/>
        <w:ind w:firstLine="539"/>
        <w:outlineLvl w:val="1"/>
        <w:rPr>
          <w:rFonts w:hint="eastAsia" w:asciiTheme="minorEastAsia" w:hAnsiTheme="minorEastAsia" w:eastAsiaTheme="minorEastAsia" w:cstheme="minorEastAsia"/>
          <w:b/>
          <w:bCs/>
          <w:color w:val="auto"/>
          <w:sz w:val="28"/>
          <w:szCs w:val="28"/>
          <w:lang w:val="zh-CN"/>
        </w:rPr>
      </w:pPr>
    </w:p>
    <w:p w14:paraId="4EFDD85B">
      <w:pPr>
        <w:autoSpaceDE w:val="0"/>
        <w:autoSpaceDN w:val="0"/>
        <w:adjustRightInd w:val="0"/>
        <w:snapToGrid w:val="0"/>
        <w:spacing w:before="156" w:beforeLines="50" w:line="300" w:lineRule="auto"/>
        <w:ind w:firstLine="539"/>
        <w:outlineLvl w:val="1"/>
        <w:rPr>
          <w:rFonts w:hint="eastAsia" w:asciiTheme="minorEastAsia" w:hAnsiTheme="minorEastAsia" w:eastAsiaTheme="minorEastAsia" w:cstheme="minorEastAsia"/>
          <w:b/>
          <w:bCs/>
          <w:color w:val="auto"/>
          <w:sz w:val="28"/>
          <w:szCs w:val="28"/>
          <w:lang w:val="zh-CN"/>
        </w:rPr>
      </w:pPr>
    </w:p>
    <w:p w14:paraId="41614390">
      <w:pPr>
        <w:autoSpaceDE w:val="0"/>
        <w:autoSpaceDN w:val="0"/>
        <w:adjustRightInd w:val="0"/>
        <w:snapToGrid w:val="0"/>
        <w:spacing w:before="156" w:beforeLines="50" w:line="300" w:lineRule="auto"/>
        <w:ind w:firstLine="539"/>
        <w:outlineLvl w:val="1"/>
        <w:rPr>
          <w:rFonts w:hint="eastAsia" w:asciiTheme="minorEastAsia" w:hAnsiTheme="minorEastAsia" w:eastAsiaTheme="minorEastAsia" w:cstheme="minorEastAsia"/>
          <w:b/>
          <w:bCs/>
          <w:color w:val="auto"/>
          <w:sz w:val="28"/>
          <w:szCs w:val="28"/>
          <w:lang w:val="zh-CN"/>
        </w:rPr>
      </w:pPr>
    </w:p>
    <w:p w14:paraId="061986AE">
      <w:pPr>
        <w:autoSpaceDE w:val="0"/>
        <w:autoSpaceDN w:val="0"/>
        <w:adjustRightInd w:val="0"/>
        <w:snapToGrid w:val="0"/>
        <w:spacing w:before="156" w:beforeLines="50" w:line="300" w:lineRule="auto"/>
        <w:ind w:firstLine="539"/>
        <w:outlineLvl w:val="1"/>
        <w:rPr>
          <w:rFonts w:hint="eastAsia" w:asciiTheme="minorEastAsia" w:hAnsiTheme="minorEastAsia" w:eastAsiaTheme="minorEastAsia" w:cstheme="minorEastAsia"/>
          <w:b/>
          <w:bCs/>
          <w:color w:val="auto"/>
          <w:sz w:val="28"/>
          <w:szCs w:val="28"/>
          <w:lang w:val="zh-CN"/>
        </w:rPr>
      </w:pPr>
    </w:p>
    <w:p w14:paraId="0BEDCF76">
      <w:pPr>
        <w:autoSpaceDE w:val="0"/>
        <w:autoSpaceDN w:val="0"/>
        <w:adjustRightInd w:val="0"/>
        <w:snapToGrid w:val="0"/>
        <w:spacing w:before="156" w:beforeLines="50" w:line="300" w:lineRule="auto"/>
        <w:ind w:firstLine="539"/>
        <w:outlineLvl w:val="1"/>
        <w:rPr>
          <w:rFonts w:hint="eastAsia" w:asciiTheme="minorEastAsia" w:hAnsiTheme="minorEastAsia" w:eastAsiaTheme="minorEastAsia" w:cstheme="minorEastAsia"/>
          <w:b/>
          <w:bCs/>
          <w:color w:val="auto"/>
          <w:sz w:val="28"/>
          <w:szCs w:val="28"/>
          <w:lang w:val="zh-CN"/>
        </w:rPr>
      </w:pPr>
    </w:p>
    <w:p w14:paraId="3827EBB5">
      <w:pPr>
        <w:autoSpaceDE w:val="0"/>
        <w:autoSpaceDN w:val="0"/>
        <w:adjustRightInd w:val="0"/>
        <w:snapToGrid w:val="0"/>
        <w:spacing w:before="156" w:beforeLines="50" w:line="300" w:lineRule="auto"/>
        <w:ind w:firstLine="539"/>
        <w:outlineLvl w:val="1"/>
        <w:rPr>
          <w:rFonts w:hint="eastAsia" w:asciiTheme="minorEastAsia" w:hAnsiTheme="minorEastAsia" w:eastAsiaTheme="minorEastAsia" w:cstheme="minorEastAsia"/>
          <w:b/>
          <w:bCs/>
          <w:color w:val="auto"/>
          <w:sz w:val="28"/>
          <w:szCs w:val="28"/>
          <w:lang w:val="zh-CN"/>
        </w:rPr>
      </w:pPr>
    </w:p>
    <w:p w14:paraId="2F261787">
      <w:pPr>
        <w:autoSpaceDE w:val="0"/>
        <w:autoSpaceDN w:val="0"/>
        <w:adjustRightInd w:val="0"/>
        <w:snapToGrid w:val="0"/>
        <w:spacing w:before="156" w:beforeLines="50" w:line="300" w:lineRule="auto"/>
        <w:ind w:firstLine="539"/>
        <w:outlineLvl w:val="1"/>
        <w:rPr>
          <w:rFonts w:hint="eastAsia" w:asciiTheme="minorEastAsia" w:hAnsiTheme="minorEastAsia" w:eastAsiaTheme="minorEastAsia" w:cstheme="minorEastAsia"/>
          <w:b/>
          <w:bCs/>
          <w:color w:val="auto"/>
          <w:sz w:val="28"/>
          <w:szCs w:val="28"/>
          <w:lang w:val="zh-CN"/>
        </w:rPr>
      </w:pPr>
    </w:p>
    <w:p w14:paraId="6445910A">
      <w:pPr>
        <w:autoSpaceDE w:val="0"/>
        <w:autoSpaceDN w:val="0"/>
        <w:adjustRightInd w:val="0"/>
        <w:snapToGrid w:val="0"/>
        <w:spacing w:before="156" w:beforeLines="50" w:line="300" w:lineRule="auto"/>
        <w:ind w:firstLine="539"/>
        <w:outlineLvl w:val="1"/>
        <w:rPr>
          <w:rFonts w:hint="eastAsia" w:asciiTheme="minorEastAsia" w:hAnsiTheme="minorEastAsia" w:eastAsiaTheme="minorEastAsia" w:cstheme="minorEastAsia"/>
          <w:b/>
          <w:bCs/>
          <w:color w:val="auto"/>
          <w:sz w:val="28"/>
          <w:szCs w:val="28"/>
          <w:lang w:val="zh-CN"/>
        </w:rPr>
      </w:pPr>
    </w:p>
    <w:p w14:paraId="403AFDBF">
      <w:pPr>
        <w:autoSpaceDE w:val="0"/>
        <w:autoSpaceDN w:val="0"/>
        <w:adjustRightInd w:val="0"/>
        <w:snapToGrid w:val="0"/>
        <w:spacing w:before="156" w:beforeLines="50" w:line="300" w:lineRule="auto"/>
        <w:outlineLvl w:val="1"/>
        <w:rPr>
          <w:rFonts w:hint="eastAsia" w:asciiTheme="minorEastAsia" w:hAnsiTheme="minorEastAsia" w:eastAsiaTheme="minorEastAsia" w:cstheme="minorEastAsia"/>
          <w:b/>
          <w:bCs/>
          <w:color w:val="auto"/>
          <w:sz w:val="28"/>
          <w:szCs w:val="28"/>
          <w:lang w:val="zh-CN"/>
        </w:rPr>
      </w:pPr>
    </w:p>
    <w:p w14:paraId="311A1FA0">
      <w:pPr>
        <w:autoSpaceDE w:val="0"/>
        <w:autoSpaceDN w:val="0"/>
        <w:adjustRightInd w:val="0"/>
        <w:snapToGrid w:val="0"/>
        <w:spacing w:before="156" w:beforeLines="50" w:line="300" w:lineRule="auto"/>
        <w:ind w:firstLine="539"/>
        <w:outlineLvl w:val="1"/>
        <w:rPr>
          <w:rFonts w:ascii="黑体" w:hAnsi="黑体" w:eastAsia="黑体"/>
          <w:color w:val="auto"/>
          <w:sz w:val="28"/>
          <w:szCs w:val="28"/>
          <w:lang w:val="zh-CN"/>
        </w:rPr>
      </w:pPr>
      <w:bookmarkStart w:id="26" w:name="_Toc30702"/>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26"/>
    </w:p>
    <w:p w14:paraId="1ED29E40">
      <w:pPr>
        <w:autoSpaceDE w:val="0"/>
        <w:autoSpaceDN w:val="0"/>
        <w:adjustRightInd w:val="0"/>
        <w:snapToGrid w:val="0"/>
        <w:spacing w:before="156" w:beforeLines="50" w:line="300" w:lineRule="auto"/>
        <w:ind w:firstLine="539"/>
        <w:rPr>
          <w:rFonts w:ascii="宋体"/>
          <w:sz w:val="24"/>
          <w:szCs w:val="24"/>
        </w:rPr>
      </w:pPr>
      <w:r>
        <w:rPr>
          <w:rFonts w:ascii="黑体" w:hAnsi="黑体" w:eastAsia="黑体" w:cs="楷体_GB2312"/>
          <w:b/>
          <w:sz w:val="24"/>
          <w:lang w:val="zh-CN"/>
        </w:rPr>
        <w:t xml:space="preserve">1.1 </w:t>
      </w:r>
      <w:r>
        <w:rPr>
          <w:rFonts w:hint="eastAsia" w:ascii="宋体" w:hAnsi="宋体"/>
          <w:sz w:val="24"/>
          <w:szCs w:val="24"/>
        </w:rPr>
        <w:t>根据《中华人民共和国政府采购法》、《中华人民共和国政府采购法实施条例》、《政府采购非招标采购方式管理办法》及相关政府采购法律法规等制定本文件。</w:t>
      </w:r>
    </w:p>
    <w:p w14:paraId="0C825D1B">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 xml:space="preserve">1.2 </w:t>
      </w:r>
      <w:r>
        <w:rPr>
          <w:rFonts w:hint="eastAsia" w:ascii="黑体" w:hAnsi="黑体" w:eastAsia="黑体" w:cs="楷体_GB2312"/>
          <w:b/>
          <w:sz w:val="24"/>
          <w:lang w:val="zh-CN"/>
        </w:rPr>
        <w:t>《谈判文件》的法律适用及法律效力</w:t>
      </w:r>
    </w:p>
    <w:p w14:paraId="1D83F32C">
      <w:pPr>
        <w:adjustRightInd w:val="0"/>
        <w:snapToGrid w:val="0"/>
        <w:spacing w:before="156" w:beforeLines="50" w:line="300" w:lineRule="auto"/>
        <w:ind w:right="240" w:firstLine="544" w:firstLineChars="227"/>
        <w:rPr>
          <w:rFonts w:ascii="宋体"/>
          <w:sz w:val="24"/>
          <w:szCs w:val="24"/>
        </w:rPr>
      </w:pPr>
      <w:r>
        <w:rPr>
          <w:rFonts w:ascii="宋体" w:hAnsi="宋体"/>
          <w:sz w:val="24"/>
          <w:szCs w:val="24"/>
        </w:rPr>
        <w:t>1.2.1</w:t>
      </w:r>
      <w:r>
        <w:rPr>
          <w:rFonts w:hint="eastAsia" w:ascii="宋体" w:hAnsi="宋体"/>
          <w:sz w:val="24"/>
          <w:szCs w:val="24"/>
          <w:lang w:val="en-US" w:eastAsia="zh-CN"/>
        </w:rPr>
        <w:t xml:space="preserve"> </w:t>
      </w:r>
      <w:r>
        <w:rPr>
          <w:rFonts w:hint="eastAsia" w:ascii="宋体" w:hAnsi="宋体"/>
          <w:sz w:val="24"/>
          <w:szCs w:val="24"/>
        </w:rPr>
        <w:t>本</w:t>
      </w:r>
      <w:r>
        <w:rPr>
          <w:rFonts w:hint="eastAsia" w:ascii="宋体" w:hAnsi="宋体" w:cs="宋体"/>
          <w:sz w:val="24"/>
          <w:szCs w:val="24"/>
          <w:lang w:eastAsia="zh-CN"/>
        </w:rPr>
        <w:t>《谈判文件》</w:t>
      </w:r>
      <w:r>
        <w:rPr>
          <w:rFonts w:hint="eastAsia" w:ascii="宋体" w:hAnsi="宋体"/>
          <w:sz w:val="24"/>
          <w:szCs w:val="24"/>
        </w:rPr>
        <w:t>所述内容，仅适用于本次项目采购。</w:t>
      </w:r>
    </w:p>
    <w:p w14:paraId="5AC196F4">
      <w:pPr>
        <w:adjustRightInd w:val="0"/>
        <w:snapToGrid w:val="0"/>
        <w:spacing w:before="156" w:beforeLines="50" w:line="300" w:lineRule="auto"/>
        <w:ind w:right="240" w:firstLine="544" w:firstLineChars="227"/>
        <w:rPr>
          <w:rFonts w:ascii="宋体"/>
          <w:sz w:val="24"/>
          <w:szCs w:val="24"/>
        </w:rPr>
      </w:pPr>
      <w:r>
        <w:rPr>
          <w:rFonts w:ascii="宋体" w:hAnsi="宋体"/>
          <w:sz w:val="24"/>
          <w:szCs w:val="24"/>
        </w:rPr>
        <w:t xml:space="preserve">1.2.2 </w:t>
      </w:r>
      <w:r>
        <w:rPr>
          <w:rFonts w:hint="eastAsia" w:ascii="宋体" w:hAnsi="宋体" w:cs="宋体"/>
          <w:sz w:val="24"/>
          <w:szCs w:val="24"/>
          <w:lang w:eastAsia="zh-CN"/>
        </w:rPr>
        <w:t>《谈判文件》</w:t>
      </w:r>
      <w:r>
        <w:rPr>
          <w:rFonts w:hint="eastAsia" w:ascii="宋体" w:hAnsi="宋体"/>
          <w:sz w:val="24"/>
          <w:szCs w:val="24"/>
        </w:rPr>
        <w:t>的修改性文件、补充文件、澄清文件或说明具有同等法律效力。</w:t>
      </w:r>
    </w:p>
    <w:p w14:paraId="4DDCFFBB">
      <w:pPr>
        <w:adjustRightInd w:val="0"/>
        <w:snapToGrid w:val="0"/>
        <w:spacing w:before="156" w:beforeLines="50" w:line="300" w:lineRule="auto"/>
        <w:ind w:right="240" w:firstLine="544" w:firstLineChars="227"/>
        <w:rPr>
          <w:rFonts w:ascii="宋体"/>
          <w:sz w:val="24"/>
          <w:szCs w:val="24"/>
        </w:rPr>
      </w:pPr>
      <w:r>
        <w:rPr>
          <w:rFonts w:ascii="宋体" w:hAnsi="宋体"/>
          <w:sz w:val="24"/>
          <w:szCs w:val="24"/>
        </w:rPr>
        <w:t xml:space="preserve">1.2.3 </w:t>
      </w:r>
      <w:r>
        <w:rPr>
          <w:rFonts w:hint="eastAsia" w:ascii="宋体" w:hAnsi="宋体"/>
          <w:sz w:val="24"/>
          <w:szCs w:val="24"/>
        </w:rPr>
        <w:t>本</w:t>
      </w:r>
      <w:r>
        <w:rPr>
          <w:rFonts w:hint="eastAsia" w:ascii="宋体" w:hAnsi="宋体" w:cs="宋体"/>
          <w:sz w:val="24"/>
          <w:szCs w:val="24"/>
          <w:lang w:eastAsia="zh-CN"/>
        </w:rPr>
        <w:t>《谈判文件》</w:t>
      </w:r>
      <w:r>
        <w:rPr>
          <w:rFonts w:hint="eastAsia" w:ascii="宋体" w:hAnsi="宋体"/>
          <w:sz w:val="24"/>
          <w:szCs w:val="24"/>
        </w:rPr>
        <w:t>适用于并执行《政府采购法》和其它相关的法律、法规。</w:t>
      </w:r>
    </w:p>
    <w:p w14:paraId="459A6CF5">
      <w:pPr>
        <w:adjustRightInd w:val="0"/>
        <w:snapToGrid w:val="0"/>
        <w:spacing w:before="156" w:beforeLines="50" w:line="300" w:lineRule="auto"/>
        <w:ind w:right="240" w:firstLine="544" w:firstLineChars="227"/>
        <w:rPr>
          <w:rFonts w:ascii="宋体"/>
          <w:sz w:val="24"/>
          <w:szCs w:val="24"/>
        </w:rPr>
      </w:pPr>
      <w:r>
        <w:rPr>
          <w:rFonts w:ascii="宋体" w:hAnsi="宋体"/>
          <w:sz w:val="24"/>
          <w:szCs w:val="24"/>
        </w:rPr>
        <w:t xml:space="preserve">1.2.4 </w:t>
      </w:r>
      <w:r>
        <w:rPr>
          <w:rFonts w:hint="eastAsia" w:ascii="宋体" w:hAnsi="宋体"/>
          <w:sz w:val="24"/>
          <w:szCs w:val="24"/>
        </w:rPr>
        <w:t>本</w:t>
      </w:r>
      <w:r>
        <w:rPr>
          <w:rFonts w:hint="eastAsia" w:ascii="宋体" w:hAnsi="宋体" w:cs="宋体"/>
          <w:sz w:val="24"/>
          <w:szCs w:val="24"/>
          <w:lang w:eastAsia="zh-CN"/>
        </w:rPr>
        <w:t>《谈判文件》</w:t>
      </w:r>
      <w:r>
        <w:rPr>
          <w:rFonts w:hint="eastAsia" w:ascii="宋体" w:hAnsi="宋体"/>
          <w:sz w:val="24"/>
          <w:szCs w:val="24"/>
        </w:rPr>
        <w:t>的解释权属采购人及代理机构。</w:t>
      </w:r>
    </w:p>
    <w:p w14:paraId="179D6794">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 xml:space="preserve">1.3 </w:t>
      </w:r>
      <w:r>
        <w:rPr>
          <w:rFonts w:hint="eastAsia" w:ascii="黑体" w:hAnsi="黑体" w:eastAsia="黑体" w:cs="楷体_GB2312"/>
          <w:b/>
          <w:sz w:val="24"/>
          <w:lang w:val="zh-CN"/>
        </w:rPr>
        <w:t>合格的投标人</w:t>
      </w:r>
    </w:p>
    <w:p w14:paraId="238BBA56">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凡符合《谈判文件》规定，承认本《谈判文件》所有内容的投标人为合格的投标人。</w:t>
      </w:r>
    </w:p>
    <w:p w14:paraId="1536992E">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14:paraId="4106059F">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为采购项目提供整体设计、规范编制或者项目管理、监理、检测等服务的供应商，不得再参加该采购项目的其他采购活动。</w:t>
      </w:r>
    </w:p>
    <w:p w14:paraId="66825D62">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投标人应遵守国家法律、法规和《谈判文件》的规定。</w:t>
      </w:r>
    </w:p>
    <w:p w14:paraId="388191CF">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en-US" w:eastAsia="zh-CN"/>
        </w:rPr>
        <w:t xml:space="preserve"> </w:t>
      </w:r>
      <w:r>
        <w:rPr>
          <w:rFonts w:hint="eastAsia" w:ascii="黑体" w:hAnsi="黑体" w:eastAsia="黑体" w:cs="楷体_GB2312"/>
          <w:b/>
          <w:color w:val="auto"/>
          <w:sz w:val="24"/>
          <w:lang w:val="zh-CN"/>
        </w:rPr>
        <w:t>联合体</w:t>
      </w:r>
    </w:p>
    <w:p w14:paraId="7E8809CF">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如投标人须知前附表规定接受联合体投标的，应遵守以下规定：</w:t>
      </w:r>
    </w:p>
    <w:p w14:paraId="1F43D64B">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043A510F">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）两个以上供应商可以组成一个投标联合体，以一个投标</w:t>
      </w:r>
      <w:r>
        <w:rPr>
          <w:rFonts w:hint="eastAsia" w:ascii="宋体" w:hAnsi="宋体" w:cs="楷体_GB2312"/>
          <w:sz w:val="24"/>
          <w:lang w:val="zh-CN"/>
        </w:rPr>
        <w:t>人的身份投标，但必须确定其中一个单位为投标的全权代表参加投标活动，并承担投标及履约中应承担的全部责任和义务。</w:t>
      </w:r>
    </w:p>
    <w:p w14:paraId="7909809F">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3</w:t>
      </w:r>
      <w:r>
        <w:rPr>
          <w:rFonts w:hint="eastAsia" w:ascii="宋体" w:hAnsi="宋体" w:cs="楷体_GB2312"/>
          <w:sz w:val="24"/>
          <w:lang w:val="zh-CN"/>
        </w:rPr>
        <w:t>）以联合体形式参加投标的，应符投标人须知前附表的要求，联合体各方均应当符合政府采购法第二十二条第一款规定的条件，联合体各方均应当具备承担采购项目（标段&lt;包&gt;）的相应能力、具备规定的相应资格条件。</w:t>
      </w:r>
    </w:p>
    <w:p w14:paraId="412AA406">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4</w:t>
      </w:r>
      <w:r>
        <w:rPr>
          <w:rFonts w:hint="eastAsia" w:ascii="宋体" w:hAnsi="宋体" w:cs="楷体_GB2312"/>
          <w:sz w:val="24"/>
          <w:lang w:val="zh-CN"/>
        </w:rPr>
        <w:t>）联合体中有同类资质的供应商按照联合体分工承担相同工作的，应当按照资质等级较低的供应商确定资质等级。</w:t>
      </w:r>
    </w:p>
    <w:p w14:paraId="4BD55287">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5</w:t>
      </w:r>
      <w:r>
        <w:rPr>
          <w:rFonts w:hint="eastAsia" w:ascii="宋体" w:hAnsi="宋体" w:cs="楷体_GB2312"/>
          <w:sz w:val="24"/>
          <w:lang w:val="zh-CN"/>
        </w:rPr>
        <w:t>）联合体各方之间应当签订联合投标协议，明确约定联合体各方承担的工作和相应的责任，并将联合投标协议连同《响应文件》一并提交采购代理机构。</w:t>
      </w:r>
    </w:p>
    <w:p w14:paraId="77087F83">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6</w:t>
      </w:r>
      <w:r>
        <w:rPr>
          <w:rFonts w:hint="eastAsia" w:ascii="宋体" w:hAnsi="宋体" w:cs="楷体_GB2312"/>
          <w:sz w:val="24"/>
          <w:lang w:val="zh-CN"/>
        </w:rPr>
        <w:t>）联合体各方签订联合投标协议后，不得再以自己名义单独在同一项目中投标，也不得组成新的联合体参加同一项目投标。</w:t>
      </w:r>
    </w:p>
    <w:p w14:paraId="1CC78B58">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sz w:val="24"/>
          <w:lang w:val="zh-CN"/>
        </w:rPr>
        <w:t>（</w:t>
      </w:r>
      <w:r>
        <w:rPr>
          <w:rFonts w:ascii="宋体" w:hAnsi="宋体" w:cs="楷体_GB2312"/>
          <w:sz w:val="24"/>
          <w:lang w:val="zh-CN"/>
        </w:rPr>
        <w:t>7</w:t>
      </w:r>
      <w:r>
        <w:rPr>
          <w:rFonts w:hint="eastAsia" w:ascii="宋体" w:hAnsi="宋体" w:cs="楷体_GB2312"/>
          <w:sz w:val="24"/>
          <w:lang w:val="zh-CN"/>
        </w:rPr>
        <w:t>）联合体中标（</w:t>
      </w:r>
      <w:r>
        <w:rPr>
          <w:rFonts w:hint="eastAsia" w:ascii="宋体" w:hAnsi="宋体" w:cs="楷体_GB2312"/>
          <w:color w:val="auto"/>
          <w:sz w:val="24"/>
          <w:lang w:val="zh-CN"/>
        </w:rPr>
        <w:t>成交）的，联合体各方应当共同与采购人签订合同，就中标（成交）项目（标段&lt;包&gt;）向采购人承担连带责任。</w:t>
      </w:r>
    </w:p>
    <w:p w14:paraId="19B867F8">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（8）预留中小企业份额项目中，</w:t>
      </w:r>
      <w:r>
        <w:rPr>
          <w:rFonts w:hint="eastAsia" w:ascii="宋体" w:hAnsi="宋体"/>
          <w:color w:val="auto"/>
          <w:sz w:val="24"/>
          <w:szCs w:val="24"/>
        </w:rPr>
        <w:t>组成联合体的中小企业与联合体内其他企业不得存在直接控股、管理关系。</w:t>
      </w:r>
    </w:p>
    <w:p w14:paraId="2CD1E4D3">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hint="eastAsia" w:ascii="黑体" w:hAnsi="黑体" w:eastAsia="黑体" w:cs="楷体_GB2312"/>
          <w:b/>
          <w:color w:val="auto"/>
          <w:sz w:val="24"/>
          <w:lang w:val="zh-CN"/>
        </w:rPr>
        <w:t>1.5</w:t>
      </w:r>
      <w:r>
        <w:rPr>
          <w:rFonts w:hint="eastAsia" w:ascii="黑体" w:hAnsi="黑体" w:eastAsia="黑体" w:cs="楷体_GB2312"/>
          <w:b/>
          <w:color w:val="auto"/>
          <w:sz w:val="24"/>
          <w:lang w:val="en-US" w:eastAsia="zh-CN"/>
        </w:rPr>
        <w:t xml:space="preserve"> </w:t>
      </w:r>
      <w:r>
        <w:rPr>
          <w:rFonts w:hint="eastAsia" w:ascii="黑体" w:hAnsi="黑体" w:eastAsia="黑体" w:cs="楷体_GB2312"/>
          <w:b/>
          <w:color w:val="auto"/>
          <w:sz w:val="24"/>
          <w:lang w:val="zh-CN"/>
        </w:rPr>
        <w:t>知识产权</w:t>
      </w:r>
    </w:p>
    <w:p w14:paraId="12196D58">
      <w:pPr>
        <w:autoSpaceDE w:val="0"/>
        <w:autoSpaceDN w:val="0"/>
        <w:adjustRightInd w:val="0"/>
        <w:snapToGrid w:val="0"/>
        <w:spacing w:before="156" w:beforeLines="50" w:line="300" w:lineRule="auto"/>
        <w:ind w:firstLine="539"/>
        <w:rPr>
          <w:rFonts w:ascii="宋体" w:hAnsi="宋体" w:eastAsia="宋体" w:cs="楷体_GB2312"/>
          <w:color w:val="auto"/>
          <w:sz w:val="24"/>
          <w:lang w:val="zh-CN"/>
        </w:rPr>
      </w:pPr>
      <w:r>
        <w:rPr>
          <w:rFonts w:hint="eastAsia" w:ascii="宋体" w:hAnsi="宋体" w:eastAsia="宋体" w:cs="楷体_GB2312"/>
          <w:color w:val="auto"/>
          <w:sz w:val="24"/>
          <w:lang w:val="zh-CN"/>
        </w:rPr>
        <w:t>1.5.1 供应商须保证采购人使用投标货物、资料、技术、服务或其任何一部分时，享有不受限制的无偿使用权，不会产生因第三方提出侵犯其专利权、商标权或其它知识产权而引起的法律或经济纠纷。如因专利权、商标权或其它知识产权而引起法律和经济纠纷，由供应商承担所有相关责任。</w:t>
      </w:r>
    </w:p>
    <w:p w14:paraId="1573B7D2">
      <w:pPr>
        <w:autoSpaceDE w:val="0"/>
        <w:autoSpaceDN w:val="0"/>
        <w:adjustRightInd w:val="0"/>
        <w:snapToGrid w:val="0"/>
        <w:spacing w:before="156" w:beforeLines="50" w:line="300" w:lineRule="auto"/>
        <w:ind w:firstLine="539"/>
        <w:rPr>
          <w:rFonts w:ascii="宋体" w:hAnsi="宋体" w:eastAsia="宋体" w:cs="楷体_GB2312"/>
          <w:color w:val="auto"/>
          <w:sz w:val="24"/>
          <w:lang w:val="zh-CN"/>
        </w:rPr>
      </w:pPr>
      <w:r>
        <w:rPr>
          <w:rFonts w:hint="eastAsia" w:ascii="宋体" w:hAnsi="宋体" w:eastAsia="宋体" w:cs="楷体_GB2312"/>
          <w:color w:val="auto"/>
          <w:sz w:val="24"/>
          <w:lang w:val="zh-CN"/>
        </w:rPr>
        <w:t>如供应商不拥有相应的知识产权，则在投标报价中必须包括合法获取该知识产权的一切相关费用。如因此导致采购人损失的，供应商须承担全部赔偿责任。</w:t>
      </w:r>
    </w:p>
    <w:p w14:paraId="0D92E3D6">
      <w:pPr>
        <w:autoSpaceDE w:val="0"/>
        <w:autoSpaceDN w:val="0"/>
        <w:adjustRightInd w:val="0"/>
        <w:snapToGrid w:val="0"/>
        <w:spacing w:before="156" w:beforeLines="50" w:line="300" w:lineRule="auto"/>
        <w:ind w:firstLine="539"/>
        <w:rPr>
          <w:rFonts w:ascii="宋体" w:hAnsi="宋体" w:eastAsia="宋体" w:cs="楷体_GB2312"/>
          <w:color w:val="auto"/>
          <w:sz w:val="24"/>
          <w:lang w:val="zh-CN"/>
        </w:rPr>
      </w:pPr>
      <w:r>
        <w:rPr>
          <w:rFonts w:hint="eastAsia" w:ascii="宋体" w:hAnsi="宋体" w:eastAsia="宋体" w:cs="楷体_GB2312"/>
          <w:color w:val="auto"/>
          <w:sz w:val="24"/>
          <w:lang w:val="zh-CN"/>
        </w:rPr>
        <w:t>1.5.2</w:t>
      </w:r>
      <w:r>
        <w:rPr>
          <w:rFonts w:hint="eastAsia" w:ascii="宋体" w:hAnsi="宋体" w:eastAsia="宋体" w:cs="楷体_GB2312"/>
          <w:color w:val="auto"/>
          <w:sz w:val="24"/>
          <w:lang w:val="en-US" w:eastAsia="zh-CN"/>
        </w:rPr>
        <w:t xml:space="preserve"> </w:t>
      </w:r>
      <w:r>
        <w:rPr>
          <w:rFonts w:hint="eastAsia" w:ascii="宋体" w:hAnsi="宋体" w:eastAsia="宋体" w:cs="楷体_GB2312"/>
          <w:color w:val="auto"/>
          <w:sz w:val="24"/>
          <w:lang w:val="zh-CN"/>
        </w:rPr>
        <w:t>供应商将在采购项目实施过程中采用自有或者第三方知识成果的，应当在</w:t>
      </w:r>
      <w:r>
        <w:rPr>
          <w:rFonts w:hint="eastAsia" w:ascii="宋体" w:hAnsi="宋体" w:eastAsia="宋体" w:cs="楷体_GB2312"/>
          <w:color w:val="auto"/>
          <w:sz w:val="24"/>
          <w:lang w:val="zh-CN" w:eastAsia="zh-CN"/>
        </w:rPr>
        <w:t>《响应文件》</w:t>
      </w:r>
      <w:r>
        <w:rPr>
          <w:rFonts w:hint="eastAsia" w:ascii="宋体" w:hAnsi="宋体" w:eastAsia="宋体" w:cs="楷体_GB2312"/>
          <w:color w:val="auto"/>
          <w:sz w:val="24"/>
          <w:lang w:val="zh-CN"/>
        </w:rPr>
        <w:t>中载明，并提供相关知识产权证明文件。使用该知识成果后，供应商需提供开发接口和开发手册等技术资料，并承诺提供无限期支持，采购人享有使用权（含采购人委托第三方在该项目后续开发的使用权）。</w:t>
      </w:r>
    </w:p>
    <w:p w14:paraId="2EF54B74">
      <w:pPr>
        <w:autoSpaceDE w:val="0"/>
        <w:autoSpaceDN w:val="0"/>
        <w:adjustRightInd w:val="0"/>
        <w:snapToGrid w:val="0"/>
        <w:spacing w:before="156" w:beforeLines="50" w:line="300" w:lineRule="auto"/>
        <w:ind w:firstLine="539"/>
        <w:rPr>
          <w:rFonts w:ascii="宋体" w:hAnsi="宋体" w:eastAsia="宋体" w:cs="楷体_GB2312"/>
          <w:color w:val="auto"/>
          <w:sz w:val="24"/>
          <w:lang w:val="zh-CN"/>
        </w:rPr>
      </w:pPr>
      <w:r>
        <w:rPr>
          <w:rFonts w:hint="eastAsia" w:ascii="宋体" w:hAnsi="宋体" w:eastAsia="宋体" w:cs="楷体_GB2312"/>
          <w:color w:val="auto"/>
          <w:sz w:val="24"/>
          <w:lang w:val="zh-CN"/>
        </w:rPr>
        <w:t>1.5.3 除非</w:t>
      </w:r>
      <w:r>
        <w:rPr>
          <w:rFonts w:hint="eastAsia" w:ascii="宋体" w:hAnsi="宋体" w:eastAsia="宋体" w:cs="楷体_GB2312"/>
          <w:color w:val="auto"/>
          <w:sz w:val="24"/>
          <w:lang w:val="zh-CN" w:eastAsia="zh-CN"/>
        </w:rPr>
        <w:t>《谈判文件》</w:t>
      </w:r>
      <w:r>
        <w:rPr>
          <w:rFonts w:hint="eastAsia" w:ascii="宋体" w:hAnsi="宋体" w:eastAsia="宋体" w:cs="楷体_GB2312"/>
          <w:color w:val="auto"/>
          <w:sz w:val="24"/>
          <w:lang w:val="zh-CN"/>
        </w:rPr>
        <w:t>特别规定，采购人享有本项目实施过程中产生的知识成果及知识产权。</w:t>
      </w:r>
    </w:p>
    <w:p w14:paraId="262F8A3E">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6</w:t>
      </w:r>
      <w:r>
        <w:rPr>
          <w:rFonts w:hint="eastAsia" w:ascii="黑体" w:hAnsi="黑体" w:eastAsia="黑体" w:cs="楷体_GB2312"/>
          <w:b/>
          <w:color w:val="auto"/>
          <w:sz w:val="24"/>
          <w:lang w:val="en-US" w:eastAsia="zh-CN"/>
        </w:rPr>
        <w:t xml:space="preserve"> </w:t>
      </w:r>
      <w:r>
        <w:rPr>
          <w:rFonts w:hint="eastAsia" w:ascii="黑体" w:hAnsi="黑体" w:eastAsia="黑体" w:cs="楷体_GB2312"/>
          <w:b/>
          <w:color w:val="auto"/>
          <w:sz w:val="24"/>
          <w:lang w:val="zh-CN"/>
        </w:rPr>
        <w:t>投标费用</w:t>
      </w:r>
    </w:p>
    <w:p w14:paraId="19197E88">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color w:val="auto"/>
          <w:sz w:val="24"/>
          <w:lang w:val="zh-CN"/>
        </w:rPr>
        <w:t>无论投标过程中的做法和结果如何，无论何种原因的谈判失败废标或</w:t>
      </w:r>
      <w:r>
        <w:rPr>
          <w:rFonts w:hint="eastAsia" w:ascii="宋体" w:hAnsi="宋体" w:cs="楷体_GB2312"/>
          <w:sz w:val="24"/>
          <w:lang w:val="zh-CN"/>
        </w:rPr>
        <w:t>终止，投标人应自行承担所有与准备和参加投标有关的全部费用（类比商业采购中的客户洽谈费用），采购代理机构在任何情况下均无义务和责任承担投标人的任何费用。</w:t>
      </w:r>
    </w:p>
    <w:p w14:paraId="32390628">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w:t>
      </w:r>
      <w:r>
        <w:rPr>
          <w:rFonts w:hint="eastAsia" w:ascii="黑体" w:hAnsi="黑体" w:eastAsia="黑体" w:cs="楷体_GB2312"/>
          <w:b/>
          <w:sz w:val="24"/>
          <w:lang w:val="zh-CN"/>
        </w:rPr>
        <w:t>7</w:t>
      </w:r>
      <w:r>
        <w:rPr>
          <w:rFonts w:ascii="黑体" w:hAnsi="黑体" w:eastAsia="黑体" w:cs="楷体_GB2312"/>
          <w:b/>
          <w:sz w:val="24"/>
          <w:lang w:val="zh-CN"/>
        </w:rPr>
        <w:t xml:space="preserve"> </w:t>
      </w:r>
      <w:r>
        <w:rPr>
          <w:rFonts w:hint="eastAsia" w:ascii="黑体" w:hAnsi="黑体" w:eastAsia="黑体" w:cs="楷体_GB2312"/>
          <w:b/>
          <w:sz w:val="24"/>
          <w:lang w:val="zh-CN"/>
        </w:rPr>
        <w:t>保密</w:t>
      </w:r>
    </w:p>
    <w:p w14:paraId="5B3DD7FB">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sz w:val="24"/>
          <w:lang w:val="zh-CN"/>
        </w:rPr>
        <w:t>1.</w:t>
      </w:r>
      <w:r>
        <w:rPr>
          <w:rFonts w:hint="eastAsia" w:ascii="宋体" w:hAnsi="宋体" w:cs="楷体_GB2312"/>
          <w:sz w:val="24"/>
          <w:lang w:val="zh-CN"/>
        </w:rPr>
        <w:t>7</w:t>
      </w:r>
      <w:r>
        <w:rPr>
          <w:rFonts w:ascii="宋体" w:hAnsi="宋体" w:cs="楷体_GB2312"/>
          <w:sz w:val="24"/>
          <w:lang w:val="zh-CN"/>
        </w:rPr>
        <w:t xml:space="preserve">.1 </w:t>
      </w:r>
      <w:r>
        <w:rPr>
          <w:rFonts w:hint="eastAsia" w:ascii="宋体" w:hAnsi="宋体" w:cs="楷体_GB2312"/>
          <w:sz w:val="24"/>
          <w:lang w:val="zh-CN"/>
        </w:rPr>
        <w:t>参与竞争性谈判活动的各方应对《谈判文件》和《响应文件》中的商业和技术等秘密保密，投标人应在《响应文件》</w:t>
      </w:r>
      <w:r>
        <w:rPr>
          <w:rFonts w:hint="eastAsia" w:ascii="宋体" w:hAnsi="宋体" w:cs="楷体_GB2312"/>
          <w:color w:val="auto"/>
          <w:sz w:val="24"/>
          <w:lang w:val="zh-CN"/>
        </w:rPr>
        <w:t>中对需保密事项予以书面声明，否则视为非保密事项。</w:t>
      </w:r>
    </w:p>
    <w:p w14:paraId="3C32D5B8">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.2 </w:t>
      </w:r>
      <w:r>
        <w:rPr>
          <w:rFonts w:hint="eastAsia" w:ascii="宋体" w:hAnsi="宋体" w:cs="楷体_GB2312"/>
          <w:color w:val="auto"/>
          <w:sz w:val="24"/>
          <w:lang w:val="zh-CN"/>
        </w:rPr>
        <w:t>依据政府采购成交结果及合同公告规定，成交（合同）标的名称、规格型号、单价及成交（合同）金额等内容不得作为商业秘密。</w:t>
      </w:r>
    </w:p>
    <w:p w14:paraId="484B2666">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w:t>
      </w:r>
      <w:r>
        <w:rPr>
          <w:rFonts w:hint="eastAsia" w:ascii="黑体" w:hAnsi="黑体" w:eastAsia="黑体" w:cs="楷体_GB2312"/>
          <w:b/>
          <w:sz w:val="24"/>
          <w:lang w:val="zh-CN"/>
        </w:rPr>
        <w:t>8</w:t>
      </w:r>
      <w:r>
        <w:rPr>
          <w:rFonts w:ascii="黑体" w:hAnsi="黑体" w:eastAsia="黑体" w:cs="楷体_GB2312"/>
          <w:b/>
          <w:sz w:val="24"/>
          <w:lang w:val="zh-CN"/>
        </w:rPr>
        <w:t xml:space="preserve"> </w:t>
      </w:r>
      <w:r>
        <w:rPr>
          <w:rFonts w:hint="eastAsia" w:ascii="黑体" w:hAnsi="黑体" w:eastAsia="黑体" w:cs="楷体_GB2312"/>
          <w:b/>
          <w:sz w:val="24"/>
          <w:lang w:val="zh-CN"/>
        </w:rPr>
        <w:t>语言文字</w:t>
      </w:r>
    </w:p>
    <w:p w14:paraId="4215E358">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sz w:val="24"/>
          <w:lang w:val="zh-CN"/>
        </w:rPr>
        <w:t>除专用术语外，与竞争性谈判有关的语言均使用中文。必要时专用术语应附有中文注释。如果《响应文件》或与投标有关的其它文件、信件及来往函电以其它语言书写，投标人应将其译成中文，并对中文译稿的真实、准确、完整承担责任。</w:t>
      </w:r>
    </w:p>
    <w:p w14:paraId="779DCF57">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w:t>
      </w:r>
      <w:r>
        <w:rPr>
          <w:rFonts w:hint="eastAsia" w:ascii="黑体" w:hAnsi="黑体" w:eastAsia="黑体" w:cs="楷体_GB2312"/>
          <w:b/>
          <w:sz w:val="24"/>
          <w:lang w:val="zh-CN"/>
        </w:rPr>
        <w:t>9</w:t>
      </w:r>
      <w:r>
        <w:rPr>
          <w:rFonts w:ascii="黑体" w:hAnsi="黑体" w:eastAsia="黑体" w:cs="楷体_GB2312"/>
          <w:b/>
          <w:sz w:val="24"/>
          <w:lang w:val="zh-CN"/>
        </w:rPr>
        <w:t xml:space="preserve"> </w:t>
      </w:r>
      <w:r>
        <w:rPr>
          <w:rFonts w:hint="eastAsia" w:ascii="黑体" w:hAnsi="黑体" w:eastAsia="黑体" w:cs="楷体_GB2312"/>
          <w:b/>
          <w:sz w:val="24"/>
          <w:lang w:val="zh-CN"/>
        </w:rPr>
        <w:t>计量单位</w:t>
      </w:r>
    </w:p>
    <w:p w14:paraId="5924FC86">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sz w:val="24"/>
          <w:lang w:val="zh-CN"/>
        </w:rPr>
        <w:t>所有计量均采用中华人民共和国法定计量单位。</w:t>
      </w:r>
    </w:p>
    <w:p w14:paraId="15DF341B">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w:t>
      </w:r>
      <w:r>
        <w:rPr>
          <w:rFonts w:hint="eastAsia" w:ascii="黑体" w:hAnsi="黑体" w:eastAsia="黑体" w:cs="楷体_GB2312"/>
          <w:b/>
          <w:sz w:val="24"/>
          <w:lang w:val="zh-CN"/>
        </w:rPr>
        <w:t>10</w:t>
      </w:r>
      <w:r>
        <w:rPr>
          <w:rFonts w:ascii="黑体" w:hAnsi="黑体" w:eastAsia="黑体" w:cs="楷体_GB2312"/>
          <w:b/>
          <w:sz w:val="24"/>
          <w:lang w:val="zh-CN"/>
        </w:rPr>
        <w:t xml:space="preserve"> </w:t>
      </w:r>
      <w:r>
        <w:rPr>
          <w:rFonts w:hint="eastAsia" w:ascii="黑体" w:hAnsi="黑体" w:eastAsia="黑体" w:cs="楷体_GB2312"/>
          <w:b/>
          <w:sz w:val="24"/>
          <w:lang w:val="zh-CN"/>
        </w:rPr>
        <w:t>踏勘现场</w:t>
      </w:r>
    </w:p>
    <w:p w14:paraId="6B27D623">
      <w:pPr>
        <w:autoSpaceDE w:val="0"/>
        <w:autoSpaceDN w:val="0"/>
        <w:adjustRightInd w:val="0"/>
        <w:snapToGrid w:val="0"/>
        <w:spacing w:before="156" w:beforeLines="50" w:line="300" w:lineRule="auto"/>
        <w:ind w:firstLine="539"/>
        <w:rPr>
          <w:rFonts w:hint="eastAsia" w:ascii="宋体" w:hAnsi="宋体" w:eastAsia="宋体" w:cs="楷体_GB2312"/>
          <w:color w:val="auto"/>
          <w:sz w:val="24"/>
          <w:lang w:val="zh-CN"/>
        </w:rPr>
      </w:pPr>
      <w:r>
        <w:rPr>
          <w:rFonts w:hint="eastAsia" w:ascii="宋体" w:hAnsi="宋体" w:eastAsia="宋体" w:cs="楷体_GB2312"/>
          <w:color w:val="auto"/>
          <w:sz w:val="24"/>
          <w:lang w:val="zh-CN"/>
        </w:rPr>
        <w:t>1.10.1</w:t>
      </w:r>
      <w:r>
        <w:rPr>
          <w:rFonts w:hint="eastAsia" w:ascii="宋体" w:hAnsi="宋体" w:eastAsia="宋体" w:cs="楷体_GB2312"/>
          <w:color w:val="auto"/>
          <w:sz w:val="24"/>
          <w:lang w:val="en-US" w:eastAsia="zh-CN"/>
        </w:rPr>
        <w:t xml:space="preserve"> </w:t>
      </w:r>
      <w:r>
        <w:rPr>
          <w:rFonts w:hint="eastAsia" w:ascii="宋体" w:hAnsi="宋体" w:eastAsia="宋体" w:cs="楷体_GB2312"/>
          <w:color w:val="auto"/>
          <w:sz w:val="24"/>
          <w:lang w:val="zh-CN"/>
        </w:rPr>
        <w:t>投标人踏勘现场发生的费用自理，投标人自行负责在踏勘现场中所发生的人员伤亡和财产损失。</w:t>
      </w:r>
    </w:p>
    <w:p w14:paraId="0A7F9204">
      <w:pPr>
        <w:autoSpaceDE w:val="0"/>
        <w:autoSpaceDN w:val="0"/>
        <w:adjustRightInd w:val="0"/>
        <w:snapToGrid w:val="0"/>
        <w:spacing w:before="156" w:beforeLines="50" w:line="300" w:lineRule="auto"/>
        <w:ind w:firstLine="539"/>
        <w:rPr>
          <w:rFonts w:hint="eastAsia" w:ascii="宋体" w:hAnsi="宋体" w:eastAsia="宋体" w:cs="楷体_GB2312"/>
          <w:color w:val="auto"/>
          <w:sz w:val="24"/>
          <w:lang w:val="zh-CN"/>
        </w:rPr>
      </w:pPr>
      <w:r>
        <w:rPr>
          <w:rFonts w:hint="eastAsia" w:ascii="宋体" w:hAnsi="宋体" w:eastAsia="宋体" w:cs="楷体_GB2312"/>
          <w:color w:val="auto"/>
          <w:sz w:val="24"/>
          <w:lang w:val="zh-CN"/>
        </w:rPr>
        <w:t>1.10.2</w:t>
      </w:r>
      <w:r>
        <w:rPr>
          <w:rFonts w:hint="eastAsia" w:ascii="宋体" w:hAnsi="宋体" w:eastAsia="宋体" w:cs="楷体_GB2312"/>
          <w:color w:val="auto"/>
          <w:sz w:val="24"/>
          <w:lang w:val="en-US" w:eastAsia="zh-CN"/>
        </w:rPr>
        <w:t xml:space="preserve"> </w:t>
      </w:r>
      <w:r>
        <w:rPr>
          <w:rFonts w:hint="eastAsia" w:ascii="宋体" w:hAnsi="宋体" w:eastAsia="宋体" w:cs="楷体_GB2312"/>
          <w:color w:val="auto"/>
          <w:sz w:val="24"/>
          <w:lang w:val="zh-CN"/>
        </w:rPr>
        <w:t>投标人须知前附表规定组织踏勘现场的，采购人及代理机构按投标人须知前附表规定的时间、地点组织投标人踏勘项目现场。采购人及代理机构在踏勘现场中介绍的交验安装条件和相关的周边环境情况，供投标人在编制《响应文件》时参考，采购人及代理机构不对投标人据此作出的判断和决策负责。</w:t>
      </w:r>
    </w:p>
    <w:p w14:paraId="0F63CFC8">
      <w:pPr>
        <w:autoSpaceDE w:val="0"/>
        <w:autoSpaceDN w:val="0"/>
        <w:adjustRightInd w:val="0"/>
        <w:snapToGrid w:val="0"/>
        <w:spacing w:before="156" w:beforeLines="50" w:line="300" w:lineRule="auto"/>
        <w:ind w:firstLine="539"/>
        <w:rPr>
          <w:rFonts w:hint="eastAsia" w:ascii="宋体" w:hAnsi="宋体" w:eastAsia="宋体" w:cs="楷体_GB2312"/>
          <w:color w:val="auto"/>
          <w:sz w:val="24"/>
          <w:lang w:val="zh-CN"/>
        </w:rPr>
      </w:pPr>
      <w:r>
        <w:rPr>
          <w:rFonts w:hint="eastAsia" w:ascii="宋体" w:hAnsi="宋体" w:eastAsia="宋体" w:cs="楷体_GB2312"/>
          <w:color w:val="auto"/>
          <w:sz w:val="24"/>
          <w:lang w:val="zh-CN"/>
        </w:rPr>
        <w:t>1.10.3</w:t>
      </w:r>
      <w:r>
        <w:rPr>
          <w:rFonts w:hint="eastAsia" w:ascii="宋体" w:hAnsi="宋体" w:eastAsia="宋体" w:cs="楷体_GB2312"/>
          <w:color w:val="auto"/>
          <w:sz w:val="24"/>
          <w:lang w:val="en-US" w:eastAsia="zh-CN"/>
        </w:rPr>
        <w:t xml:space="preserve"> </w:t>
      </w:r>
      <w:r>
        <w:rPr>
          <w:rFonts w:hint="eastAsia" w:ascii="宋体" w:hAnsi="宋体" w:eastAsia="宋体" w:cs="楷体_GB2312"/>
          <w:color w:val="auto"/>
          <w:sz w:val="24"/>
          <w:lang w:val="zh-CN"/>
        </w:rPr>
        <w:t>投标人须知前附表规定不组织踏勘现场的，《谈判文件》不单独提供交验地自然环境、气候条件、交验安装条件等情况说明，投标人被视为熟悉前述与履行合同有关的一切情况，投标人可自行踏勘现场并自行了解相关情况。</w:t>
      </w:r>
    </w:p>
    <w:p w14:paraId="2048F6AB">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1.1</w:t>
      </w:r>
      <w:r>
        <w:rPr>
          <w:rFonts w:hint="eastAsia" w:ascii="黑体" w:hAnsi="黑体" w:eastAsia="黑体" w:cs="楷体_GB2312"/>
          <w:b/>
          <w:sz w:val="24"/>
          <w:lang w:val="zh-CN"/>
        </w:rPr>
        <w:t>1</w:t>
      </w:r>
      <w:r>
        <w:rPr>
          <w:rFonts w:ascii="黑体" w:hAnsi="黑体" w:eastAsia="黑体" w:cs="楷体_GB2312"/>
          <w:b/>
          <w:sz w:val="24"/>
          <w:lang w:val="zh-CN"/>
        </w:rPr>
        <w:t xml:space="preserve"> </w:t>
      </w:r>
      <w:r>
        <w:rPr>
          <w:rFonts w:hint="eastAsia" w:ascii="黑体" w:hAnsi="黑体" w:eastAsia="黑体" w:cs="楷体_GB2312"/>
          <w:b/>
          <w:sz w:val="24"/>
          <w:lang w:val="zh-CN"/>
        </w:rPr>
        <w:t>投标预备会</w:t>
      </w:r>
    </w:p>
    <w:p w14:paraId="46F70466">
      <w:pPr>
        <w:autoSpaceDE w:val="0"/>
        <w:autoSpaceDN w:val="0"/>
        <w:adjustRightInd w:val="0"/>
        <w:snapToGrid w:val="0"/>
        <w:spacing w:before="156" w:beforeLines="50" w:line="300" w:lineRule="auto"/>
        <w:ind w:firstLine="539"/>
        <w:rPr>
          <w:rFonts w:hint="eastAsia" w:ascii="宋体" w:hAnsi="宋体" w:eastAsia="宋体" w:cs="楷体_GB2312"/>
          <w:color w:val="auto"/>
          <w:sz w:val="24"/>
          <w:lang w:val="zh-CN"/>
        </w:rPr>
      </w:pPr>
      <w:r>
        <w:rPr>
          <w:rFonts w:hint="eastAsia" w:ascii="宋体" w:hAnsi="宋体" w:eastAsia="宋体" w:cs="楷体_GB2312"/>
          <w:color w:val="auto"/>
          <w:sz w:val="24"/>
          <w:lang w:val="zh-CN"/>
        </w:rPr>
        <w:t>1.11.1 投标人须知前附表规定召开投标预备会的，采购人及代理机构按投标人须知前附表规定的时间和地点召开投标预备会，澄清投标人提出的问题。</w:t>
      </w:r>
    </w:p>
    <w:p w14:paraId="1E45A51A">
      <w:pPr>
        <w:autoSpaceDE w:val="0"/>
        <w:autoSpaceDN w:val="0"/>
        <w:adjustRightInd w:val="0"/>
        <w:snapToGrid w:val="0"/>
        <w:spacing w:before="156" w:beforeLines="50" w:line="300" w:lineRule="auto"/>
        <w:ind w:firstLine="539"/>
        <w:rPr>
          <w:rFonts w:hint="eastAsia" w:ascii="宋体" w:hAnsi="宋体" w:eastAsia="宋体" w:cs="楷体_GB2312"/>
          <w:color w:val="auto"/>
          <w:sz w:val="24"/>
          <w:lang w:val="zh-CN"/>
        </w:rPr>
      </w:pPr>
      <w:r>
        <w:rPr>
          <w:rFonts w:hint="eastAsia" w:ascii="宋体" w:hAnsi="宋体" w:eastAsia="宋体" w:cs="楷体_GB2312"/>
          <w:color w:val="auto"/>
          <w:sz w:val="24"/>
          <w:lang w:val="zh-CN"/>
        </w:rPr>
        <w:t>1.11.2 投标人应在投标人须知前附表规定的时间前，以书面形式将提出的问题送达采购人及代理机构，以便采购人及代理机构在会议期间澄清。</w:t>
      </w:r>
    </w:p>
    <w:p w14:paraId="637C836D">
      <w:pPr>
        <w:autoSpaceDE w:val="0"/>
        <w:autoSpaceDN w:val="0"/>
        <w:adjustRightInd w:val="0"/>
        <w:snapToGrid w:val="0"/>
        <w:spacing w:before="156" w:beforeLines="50" w:line="300" w:lineRule="auto"/>
        <w:ind w:firstLine="539"/>
        <w:rPr>
          <w:rFonts w:hint="eastAsia" w:ascii="宋体" w:hAnsi="宋体" w:eastAsia="宋体" w:cs="楷体_GB2312"/>
          <w:color w:val="auto"/>
          <w:sz w:val="24"/>
          <w:lang w:val="zh-CN"/>
        </w:rPr>
      </w:pPr>
      <w:r>
        <w:rPr>
          <w:rFonts w:hint="eastAsia" w:ascii="宋体" w:hAnsi="宋体" w:eastAsia="宋体" w:cs="楷体_GB2312"/>
          <w:color w:val="auto"/>
          <w:sz w:val="24"/>
          <w:lang w:val="zh-CN"/>
        </w:rPr>
        <w:t>1.11.3 投标预备会后，采购人及代理机构在投标人须知前附表规定的时间内，将对投标人所提问题的澄清，以本章2.3.2项方式通告潜在投标人。该澄清内容为《谈判文件》的组成部分。</w:t>
      </w:r>
    </w:p>
    <w:p w14:paraId="0D130F25">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2 分包</w:t>
      </w:r>
    </w:p>
    <w:p w14:paraId="34051ED1">
      <w:pPr>
        <w:autoSpaceDE w:val="0"/>
        <w:autoSpaceDN w:val="0"/>
        <w:adjustRightInd w:val="0"/>
        <w:snapToGrid w:val="0"/>
        <w:spacing w:before="156" w:beforeLines="50" w:line="300" w:lineRule="auto"/>
        <w:ind w:firstLine="539"/>
        <w:rPr>
          <w:rFonts w:hint="eastAsia" w:ascii="宋体" w:hAnsi="宋体" w:eastAsia="宋体" w:cs="楷体_GB2312"/>
          <w:color w:val="auto"/>
          <w:sz w:val="24"/>
          <w:lang w:val="zh-CN"/>
        </w:rPr>
      </w:pPr>
      <w:r>
        <w:rPr>
          <w:rFonts w:hint="eastAsia" w:ascii="宋体" w:hAnsi="宋体" w:cs="楷体_GB2312"/>
          <w:color w:val="auto"/>
          <w:sz w:val="24"/>
          <w:highlight w:val="none"/>
          <w:lang w:val="zh-CN"/>
        </w:rPr>
        <w:t>1.1</w:t>
      </w:r>
      <w:r>
        <w:rPr>
          <w:rFonts w:hint="eastAsia" w:ascii="宋体" w:hAnsi="宋体" w:cs="楷体_GB2312"/>
          <w:color w:val="auto"/>
          <w:sz w:val="24"/>
          <w:highlight w:val="none"/>
          <w:lang w:val="en-US" w:eastAsia="zh-CN"/>
        </w:rPr>
        <w:t>2</w:t>
      </w: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1</w:t>
      </w:r>
      <w:r>
        <w:rPr>
          <w:rFonts w:hint="eastAsia" w:ascii="宋体" w:hAnsi="宋体" w:cs="楷体_GB2312"/>
          <w:color w:val="auto"/>
          <w:sz w:val="24"/>
          <w:highlight w:val="none"/>
          <w:lang w:val="zh-CN"/>
        </w:rPr>
        <w:t xml:space="preserve"> </w:t>
      </w:r>
      <w:r>
        <w:rPr>
          <w:rFonts w:hint="eastAsia" w:ascii="宋体" w:hAnsi="宋体" w:eastAsia="宋体" w:cs="楷体_GB2312"/>
          <w:color w:val="auto"/>
          <w:sz w:val="24"/>
          <w:lang w:val="zh-CN"/>
        </w:rPr>
        <w:t>投标人拟在成交后将成交项目(标段&lt;包&gt;)的部分非主体、非关键性工作进行分包的，应符合投标人须知前附表规定的分包内容、分包金额和接受分包的第三人资质要求等限制性条件。</w:t>
      </w:r>
    </w:p>
    <w:p w14:paraId="26C3E6B0">
      <w:pPr>
        <w:autoSpaceDE w:val="0"/>
        <w:autoSpaceDN w:val="0"/>
        <w:adjustRightInd w:val="0"/>
        <w:snapToGrid w:val="0"/>
        <w:spacing w:before="156" w:beforeLines="50" w:line="300" w:lineRule="auto"/>
        <w:ind w:firstLine="539"/>
        <w:rPr>
          <w:rFonts w:hint="eastAsia" w:ascii="宋体" w:hAnsi="宋体" w:eastAsia="宋体" w:cs="楷体_GB2312"/>
          <w:color w:val="auto"/>
          <w:sz w:val="24"/>
          <w:lang w:val="zh-CN"/>
        </w:rPr>
      </w:pPr>
      <w:r>
        <w:rPr>
          <w:rFonts w:hint="eastAsia" w:ascii="宋体" w:hAnsi="宋体" w:cs="楷体_GB2312"/>
          <w:color w:val="auto"/>
          <w:sz w:val="24"/>
          <w:highlight w:val="none"/>
          <w:lang w:val="zh-CN"/>
        </w:rPr>
        <w:t>1.1</w:t>
      </w:r>
      <w:r>
        <w:rPr>
          <w:rFonts w:hint="eastAsia" w:ascii="宋体" w:hAnsi="宋体" w:cs="楷体_GB2312"/>
          <w:color w:val="auto"/>
          <w:sz w:val="24"/>
          <w:highlight w:val="none"/>
          <w:lang w:val="en-US" w:eastAsia="zh-CN"/>
        </w:rPr>
        <w:t>2</w:t>
      </w: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2</w:t>
      </w:r>
      <w:r>
        <w:rPr>
          <w:rFonts w:hint="eastAsia" w:ascii="宋体" w:hAnsi="宋体" w:cs="楷体_GB2312"/>
          <w:color w:val="auto"/>
          <w:sz w:val="24"/>
          <w:highlight w:val="none"/>
          <w:lang w:val="zh-CN"/>
        </w:rPr>
        <w:t xml:space="preserve"> </w:t>
      </w:r>
      <w:r>
        <w:rPr>
          <w:rFonts w:hint="eastAsia" w:ascii="宋体" w:hAnsi="宋体" w:eastAsia="宋体" w:cs="楷体_GB2312"/>
          <w:color w:val="auto"/>
          <w:sz w:val="24"/>
          <w:lang w:val="zh-CN"/>
        </w:rPr>
        <w:t>预留中小企业份额项目中，接受分包合同的中小企业与分包企业之间不得存在直接控股、管理关系</w:t>
      </w:r>
    </w:p>
    <w:p w14:paraId="7EF25D53">
      <w:pPr>
        <w:autoSpaceDE w:val="0"/>
        <w:autoSpaceDN w:val="0"/>
        <w:adjustRightInd w:val="0"/>
        <w:snapToGrid w:val="0"/>
        <w:spacing w:before="156" w:beforeLines="50" w:line="300" w:lineRule="auto"/>
        <w:ind w:firstLine="539"/>
        <w:rPr>
          <w:rFonts w:hint="eastAsia" w:ascii="宋体" w:hAnsi="宋体" w:eastAsia="宋体" w:cs="楷体_GB2312"/>
          <w:color w:val="auto"/>
          <w:sz w:val="24"/>
          <w:lang w:val="zh-CN"/>
        </w:rPr>
      </w:pPr>
      <w:r>
        <w:rPr>
          <w:rFonts w:hint="eastAsia" w:ascii="宋体" w:hAnsi="宋体" w:cs="楷体_GB2312"/>
          <w:color w:val="auto"/>
          <w:sz w:val="24"/>
          <w:highlight w:val="none"/>
          <w:lang w:val="zh-CN"/>
        </w:rPr>
        <w:t>1.1</w:t>
      </w:r>
      <w:r>
        <w:rPr>
          <w:rFonts w:hint="eastAsia" w:ascii="宋体" w:hAnsi="宋体" w:cs="楷体_GB2312"/>
          <w:color w:val="auto"/>
          <w:sz w:val="24"/>
          <w:highlight w:val="none"/>
          <w:lang w:val="en-US" w:eastAsia="zh-CN"/>
        </w:rPr>
        <w:t>2</w:t>
      </w: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3</w:t>
      </w:r>
      <w:r>
        <w:rPr>
          <w:rFonts w:hint="eastAsia" w:ascii="宋体" w:hAnsi="宋体" w:cs="楷体_GB2312"/>
          <w:color w:val="auto"/>
          <w:sz w:val="24"/>
          <w:highlight w:val="none"/>
          <w:lang w:val="zh-CN"/>
        </w:rPr>
        <w:t xml:space="preserve"> </w:t>
      </w:r>
      <w:r>
        <w:rPr>
          <w:rFonts w:hint="eastAsia" w:ascii="宋体" w:hAnsi="宋体" w:eastAsia="宋体" w:cs="楷体_GB2312"/>
          <w:color w:val="auto"/>
          <w:sz w:val="24"/>
          <w:lang w:val="zh-CN"/>
        </w:rPr>
        <w:t>依法享受扶持政策获得政府采购合同的，小微企业不得将合同分包给大中型企业，中型企业不得将合同分包给大型企业。</w:t>
      </w:r>
    </w:p>
    <w:p w14:paraId="65BF40D8">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1.1</w:t>
      </w:r>
      <w:r>
        <w:rPr>
          <w:rFonts w:hint="eastAsia" w:ascii="黑体" w:hAnsi="黑体" w:eastAsia="黑体" w:cs="楷体_GB2312"/>
          <w:b/>
          <w:sz w:val="24"/>
          <w:lang w:val="zh-CN"/>
        </w:rPr>
        <w:t>3 偏离</w:t>
      </w:r>
    </w:p>
    <w:p w14:paraId="1C19BABC">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sz w:val="24"/>
          <w:lang w:val="zh-CN"/>
        </w:rPr>
        <w:t>《谈判文件》允许《响应文件》偏离《谈判文件》某些要求的，偏离应当符合《谈判文件》规定的偏离范围和幅度。</w:t>
      </w:r>
    </w:p>
    <w:p w14:paraId="53135AF1">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lang w:val="zh-CN"/>
        </w:rPr>
      </w:pPr>
    </w:p>
    <w:p w14:paraId="6A54E9F8">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7" w:name="_Toc16608"/>
      <w:r>
        <w:rPr>
          <w:rFonts w:ascii="黑体" w:hAnsi="黑体" w:eastAsia="黑体" w:cs="楷体_GB2312"/>
          <w:b/>
          <w:bCs/>
          <w:color w:val="auto"/>
          <w:sz w:val="28"/>
          <w:szCs w:val="28"/>
          <w:lang w:val="zh-CN"/>
        </w:rPr>
        <w:t>2.</w:t>
      </w:r>
      <w:r>
        <w:rPr>
          <w:rFonts w:hint="eastAsia" w:ascii="黑体" w:hAnsi="黑体" w:eastAsia="黑体" w:cs="楷体_GB2312"/>
          <w:b/>
          <w:bCs/>
          <w:color w:val="auto"/>
          <w:sz w:val="28"/>
          <w:szCs w:val="28"/>
          <w:lang w:val="zh-CN"/>
        </w:rPr>
        <w:t>《谈判文件》</w:t>
      </w:r>
      <w:bookmarkEnd w:id="27"/>
    </w:p>
    <w:p w14:paraId="7DF6B8EE">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2.1</w:t>
      </w:r>
      <w:r>
        <w:rPr>
          <w:rFonts w:hint="eastAsia" w:ascii="黑体" w:hAnsi="黑体" w:eastAsia="黑体" w:cs="楷体_GB2312"/>
          <w:b/>
          <w:color w:val="auto"/>
          <w:sz w:val="24"/>
          <w:lang w:val="zh-CN"/>
        </w:rPr>
        <w:t>《谈判文件》的组成</w:t>
      </w:r>
    </w:p>
    <w:p w14:paraId="07A1F46D">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《谈判文件》用以阐明采购项目的内容、程序和合同主要条款。《谈判文件》由下述部分组成：</w:t>
      </w:r>
    </w:p>
    <w:p w14:paraId="28183D15">
      <w:pPr>
        <w:autoSpaceDE w:val="0"/>
        <w:autoSpaceDN w:val="0"/>
        <w:adjustRightInd w:val="0"/>
        <w:snapToGrid w:val="0"/>
        <w:spacing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1</w:t>
      </w:r>
      <w:r>
        <w:rPr>
          <w:rFonts w:hint="eastAsia" w:ascii="宋体" w:hAnsi="宋体" w:cs="楷体_GB2312"/>
          <w:sz w:val="24"/>
          <w:lang w:val="zh-CN"/>
        </w:rPr>
        <w:t>）谈判公告</w:t>
      </w:r>
    </w:p>
    <w:p w14:paraId="31CB3445">
      <w:pPr>
        <w:autoSpaceDE w:val="0"/>
        <w:autoSpaceDN w:val="0"/>
        <w:adjustRightInd w:val="0"/>
        <w:snapToGrid w:val="0"/>
        <w:spacing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2</w:t>
      </w:r>
      <w:r>
        <w:rPr>
          <w:rFonts w:hint="eastAsia" w:ascii="宋体" w:hAnsi="宋体" w:cs="楷体_GB2312"/>
          <w:sz w:val="24"/>
          <w:lang w:val="zh-CN"/>
        </w:rPr>
        <w:t>）采购项目及技术、服务要求</w:t>
      </w:r>
    </w:p>
    <w:p w14:paraId="0D9A3293">
      <w:pPr>
        <w:autoSpaceDE w:val="0"/>
        <w:autoSpaceDN w:val="0"/>
        <w:adjustRightInd w:val="0"/>
        <w:snapToGrid w:val="0"/>
        <w:spacing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3</w:t>
      </w:r>
      <w:r>
        <w:rPr>
          <w:rFonts w:hint="eastAsia" w:ascii="宋体" w:hAnsi="宋体" w:cs="楷体_GB2312"/>
          <w:sz w:val="24"/>
          <w:lang w:val="zh-CN"/>
        </w:rPr>
        <w:t>）投标人须知</w:t>
      </w:r>
    </w:p>
    <w:p w14:paraId="6E26B888">
      <w:pPr>
        <w:autoSpaceDE w:val="0"/>
        <w:autoSpaceDN w:val="0"/>
        <w:adjustRightInd w:val="0"/>
        <w:snapToGrid w:val="0"/>
        <w:spacing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4</w:t>
      </w:r>
      <w:r>
        <w:rPr>
          <w:rFonts w:hint="eastAsia" w:ascii="宋体" w:hAnsi="宋体" w:cs="楷体_GB2312"/>
          <w:sz w:val="24"/>
          <w:lang w:val="zh-CN"/>
        </w:rPr>
        <w:t>）评审办法</w:t>
      </w:r>
    </w:p>
    <w:p w14:paraId="0FA59F72">
      <w:pPr>
        <w:autoSpaceDE w:val="0"/>
        <w:autoSpaceDN w:val="0"/>
        <w:adjustRightInd w:val="0"/>
        <w:snapToGrid w:val="0"/>
        <w:spacing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5</w:t>
      </w:r>
      <w:r>
        <w:rPr>
          <w:rFonts w:hint="eastAsia" w:ascii="宋体" w:hAnsi="宋体" w:cs="楷体_GB2312"/>
          <w:sz w:val="24"/>
          <w:lang w:val="zh-CN"/>
        </w:rPr>
        <w:t>）合同主要条款</w:t>
      </w:r>
    </w:p>
    <w:p w14:paraId="301482EE">
      <w:pPr>
        <w:autoSpaceDE w:val="0"/>
        <w:autoSpaceDN w:val="0"/>
        <w:adjustRightInd w:val="0"/>
        <w:snapToGrid w:val="0"/>
        <w:spacing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6</w:t>
      </w:r>
      <w:r>
        <w:rPr>
          <w:rFonts w:hint="eastAsia" w:ascii="宋体" w:hAnsi="宋体" w:cs="楷体_GB2312"/>
          <w:sz w:val="24"/>
          <w:lang w:val="zh-CN"/>
        </w:rPr>
        <w:t>）《响应文件》格式</w:t>
      </w:r>
    </w:p>
    <w:p w14:paraId="37FD1F0D">
      <w:pPr>
        <w:autoSpaceDE w:val="0"/>
        <w:autoSpaceDN w:val="0"/>
        <w:adjustRightInd w:val="0"/>
        <w:snapToGrid w:val="0"/>
        <w:spacing w:before="156" w:beforeLines="50" w:line="300" w:lineRule="auto"/>
        <w:ind w:firstLine="539"/>
        <w:rPr>
          <w:rFonts w:ascii="宋体" w:cs="楷体_GB2312"/>
          <w:sz w:val="24"/>
          <w:lang w:val="zh-CN"/>
        </w:rPr>
      </w:pPr>
      <w:r>
        <w:rPr>
          <w:rFonts w:ascii="宋体" w:hAnsi="宋体" w:cs="楷体_GB2312"/>
          <w:sz w:val="24"/>
          <w:lang w:val="zh-CN"/>
        </w:rPr>
        <w:t xml:space="preserve">2.1.2 </w:t>
      </w:r>
      <w:r>
        <w:rPr>
          <w:rFonts w:hint="eastAsia" w:ascii="宋体" w:hAnsi="宋体" w:cs="楷体_GB2312"/>
          <w:sz w:val="24"/>
          <w:lang w:val="zh-CN"/>
        </w:rPr>
        <w:t>根据本章第</w:t>
      </w:r>
      <w:r>
        <w:rPr>
          <w:rFonts w:ascii="宋体" w:hAnsi="宋体" w:cs="楷体_GB2312"/>
          <w:sz w:val="24"/>
          <w:lang w:val="zh-CN"/>
        </w:rPr>
        <w:t>1.1</w:t>
      </w:r>
      <w:r>
        <w:rPr>
          <w:rFonts w:hint="eastAsia" w:ascii="宋体" w:hAnsi="宋体" w:cs="楷体_GB2312"/>
          <w:sz w:val="24"/>
          <w:lang w:val="zh-CN"/>
        </w:rPr>
        <w:t>1款、第</w:t>
      </w:r>
      <w:r>
        <w:rPr>
          <w:rFonts w:ascii="宋体" w:hAnsi="宋体" w:cs="楷体_GB2312"/>
          <w:sz w:val="24"/>
          <w:lang w:val="zh-CN"/>
        </w:rPr>
        <w:t>2.2</w:t>
      </w:r>
      <w:r>
        <w:rPr>
          <w:rFonts w:hint="eastAsia" w:ascii="宋体" w:hAnsi="宋体" w:cs="楷体_GB2312"/>
          <w:sz w:val="24"/>
          <w:lang w:val="zh-CN"/>
        </w:rPr>
        <w:t>款和第</w:t>
      </w:r>
      <w:r>
        <w:rPr>
          <w:rFonts w:ascii="宋体" w:hAnsi="宋体" w:cs="楷体_GB2312"/>
          <w:sz w:val="24"/>
          <w:lang w:val="zh-CN"/>
        </w:rPr>
        <w:t>2.3</w:t>
      </w:r>
      <w:r>
        <w:rPr>
          <w:rFonts w:hint="eastAsia" w:ascii="宋体" w:hAnsi="宋体" w:cs="楷体_GB2312"/>
          <w:sz w:val="24"/>
          <w:lang w:val="zh-CN"/>
        </w:rPr>
        <w:t>款、对《谈判文件》的澄清、修改、补充书构成《谈判文件》的组成部分，并取代《谈判文件》中被澄清、修改处，对所有投标人均有约束力。</w:t>
      </w:r>
    </w:p>
    <w:p w14:paraId="1FA1AF5C">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sz w:val="24"/>
          <w:lang w:val="zh-CN"/>
        </w:rPr>
        <w:t xml:space="preserve">2.1.3 </w:t>
      </w:r>
      <w:r>
        <w:rPr>
          <w:rFonts w:hint="eastAsia" w:ascii="宋体" w:hAnsi="宋体" w:cs="楷体_GB2312"/>
          <w:sz w:val="24"/>
          <w:lang w:val="zh-CN"/>
        </w:rPr>
        <w:t>当《谈判文件》、《谈判文件》的澄清、修改、补充等在同一内容的表述上不一致时，以最后发出（发布）的文</w:t>
      </w:r>
      <w:r>
        <w:rPr>
          <w:rFonts w:hint="eastAsia" w:ascii="宋体" w:hAnsi="宋体" w:cs="楷体_GB2312"/>
          <w:color w:val="auto"/>
          <w:sz w:val="24"/>
          <w:lang w:val="zh-CN"/>
        </w:rPr>
        <w:t>件为准。</w:t>
      </w:r>
    </w:p>
    <w:p w14:paraId="00D361E0">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投标人与任何人的口头协议不影响《谈判文件》的任何条款和内容。</w:t>
      </w:r>
    </w:p>
    <w:p w14:paraId="46B09956">
      <w:pPr>
        <w:autoSpaceDE w:val="0"/>
        <w:autoSpaceDN w:val="0"/>
        <w:adjustRightInd w:val="0"/>
        <w:snapToGrid w:val="0"/>
        <w:spacing w:before="156" w:beforeLines="50" w:line="300" w:lineRule="auto"/>
        <w:ind w:firstLine="539"/>
        <w:rPr>
          <w:rFonts w:ascii="宋体" w:cs="楷体_GB2312"/>
          <w:color w:val="auto"/>
          <w:sz w:val="24"/>
        </w:rPr>
      </w:pPr>
      <w:r>
        <w:rPr>
          <w:rFonts w:ascii="宋体" w:hAnsi="宋体" w:cs="楷体_GB2312"/>
          <w:color w:val="auto"/>
          <w:sz w:val="24"/>
        </w:rPr>
        <w:t xml:space="preserve">2.1.5 </w:t>
      </w:r>
      <w:r>
        <w:rPr>
          <w:rFonts w:hint="eastAsia" w:ascii="宋体" w:hAnsi="宋体" w:cs="楷体_GB2312"/>
          <w:color w:val="auto"/>
          <w:sz w:val="24"/>
        </w:rPr>
        <w:t>投标人应仔细阅读和检查</w:t>
      </w:r>
      <w:r>
        <w:rPr>
          <w:rFonts w:hint="eastAsia" w:ascii="宋体" w:hAnsi="宋体" w:cs="楷体_GB2312"/>
          <w:color w:val="auto"/>
          <w:sz w:val="24"/>
          <w:lang w:eastAsia="zh-CN"/>
        </w:rPr>
        <w:t>《谈判文件》</w:t>
      </w:r>
      <w:r>
        <w:rPr>
          <w:rFonts w:hint="eastAsia" w:ascii="宋体" w:hAnsi="宋体" w:cs="楷体_GB2312"/>
          <w:color w:val="auto"/>
          <w:sz w:val="24"/>
        </w:rPr>
        <w:t>的全部内容是否齐全，如发现缺页或附件不全等遗漏，应及时向采购代理机构提出并索取补齐，否则责任及风险自负。</w:t>
      </w:r>
    </w:p>
    <w:p w14:paraId="0BC58FDD">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《谈判文件》的澄清</w:t>
      </w:r>
    </w:p>
    <w:p w14:paraId="55B72B66">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谈判文件》的所有潜在投标人对《谈判文件》如有需澄清的疑问，应在投标人须知前附表规定的时间内按谈判公告中载明的地址以纸质书面形式通知到采购代理机构。在规定的时间内未提出疑问的，将视为对《谈判文件》的完全认可。</w:t>
      </w:r>
    </w:p>
    <w:p w14:paraId="2D2B5973">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采购代理机构对潜在投标人在规定的时间内提出的疑问，将视情况以书面形式予以答复，并在其认为必要时，将不标明查询来源的书面答复，在“谈判公告”所述媒体通告所有潜在投标人。</w:t>
      </w:r>
    </w:p>
    <w:p w14:paraId="10876E05">
      <w:pPr>
        <w:autoSpaceDE w:val="0"/>
        <w:autoSpaceDN w:val="0"/>
        <w:adjustRightInd w:val="0"/>
        <w:snapToGrid w:val="0"/>
        <w:spacing w:before="156" w:beforeLines="50" w:line="300" w:lineRule="auto"/>
        <w:ind w:firstLine="539"/>
        <w:rPr>
          <w:rFonts w:ascii="宋体" w:hAnsi="宋体" w:eastAsia="宋体" w:cs="楷体_GB2312"/>
          <w:color w:val="auto"/>
          <w:sz w:val="24"/>
          <w:lang w:val="zh-CN"/>
        </w:rPr>
      </w:pPr>
      <w:r>
        <w:rPr>
          <w:rFonts w:ascii="宋体" w:hAnsi="宋体" w:eastAsia="宋体" w:cs="楷体_GB2312"/>
          <w:color w:val="auto"/>
          <w:sz w:val="24"/>
          <w:lang w:val="zh-CN"/>
        </w:rPr>
        <w:t xml:space="preserve">2.2.3 </w:t>
      </w:r>
      <w:r>
        <w:rPr>
          <w:rFonts w:hint="eastAsia" w:ascii="宋体" w:hAnsi="宋体" w:eastAsia="宋体" w:cs="楷体_GB2312"/>
          <w:color w:val="auto"/>
          <w:sz w:val="24"/>
          <w:lang w:val="zh-CN"/>
        </w:rPr>
        <w:t>《谈判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14:paraId="27A647EC">
      <w:pPr>
        <w:autoSpaceDE w:val="0"/>
        <w:autoSpaceDN w:val="0"/>
        <w:adjustRightInd w:val="0"/>
        <w:snapToGrid w:val="0"/>
        <w:spacing w:before="156" w:beforeLines="50" w:line="300" w:lineRule="auto"/>
        <w:ind w:firstLine="539"/>
        <w:rPr>
          <w:rFonts w:ascii="宋体" w:hAnsi="宋体" w:eastAsia="宋体" w:cs="楷体_GB2312"/>
          <w:color w:val="auto"/>
          <w:sz w:val="24"/>
          <w:lang w:val="zh-CN"/>
        </w:rPr>
      </w:pPr>
      <w:r>
        <w:rPr>
          <w:rFonts w:ascii="宋体" w:hAnsi="宋体" w:eastAsia="宋体" w:cs="楷体_GB2312"/>
          <w:color w:val="auto"/>
          <w:sz w:val="24"/>
          <w:lang w:val="zh-CN"/>
        </w:rPr>
        <w:t>2.2.4</w:t>
      </w:r>
      <w:r>
        <w:rPr>
          <w:rFonts w:hint="eastAsia" w:ascii="宋体" w:hAnsi="宋体" w:eastAsia="宋体" w:cs="楷体_GB2312"/>
          <w:color w:val="auto"/>
          <w:sz w:val="24"/>
          <w:lang w:val="en-US" w:eastAsia="zh-CN"/>
        </w:rPr>
        <w:t xml:space="preserve"> </w:t>
      </w:r>
      <w:r>
        <w:rPr>
          <w:rFonts w:hint="eastAsia" w:ascii="宋体" w:hAnsi="宋体" w:eastAsia="宋体" w:cs="楷体_GB2312"/>
          <w:color w:val="auto"/>
          <w:sz w:val="24"/>
          <w:lang w:val="zh-CN"/>
        </w:rPr>
        <w:t>采购代理机构可视情况在投标截止前答疑。</w:t>
      </w:r>
    </w:p>
    <w:p w14:paraId="5A015FE4">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 xml:space="preserve">2.3 </w:t>
      </w:r>
      <w:r>
        <w:rPr>
          <w:rFonts w:hint="eastAsia" w:ascii="黑体" w:hAnsi="黑体" w:eastAsia="黑体" w:cs="楷体_GB2312"/>
          <w:b/>
          <w:sz w:val="24"/>
          <w:lang w:val="zh-CN"/>
        </w:rPr>
        <w:t>《谈判文件》的澄清、修改、补充</w:t>
      </w:r>
    </w:p>
    <w:p w14:paraId="54A5D627">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sz w:val="24"/>
          <w:lang w:val="zh-CN"/>
        </w:rPr>
        <w:t xml:space="preserve">2.3.1 </w:t>
      </w:r>
      <w:r>
        <w:rPr>
          <w:rFonts w:hint="eastAsia" w:ascii="宋体" w:hAnsi="宋体" w:cs="楷体_GB2312"/>
          <w:sz w:val="24"/>
          <w:lang w:val="zh-CN"/>
        </w:rPr>
        <w:t>采</w:t>
      </w:r>
      <w:r>
        <w:rPr>
          <w:rFonts w:hint="eastAsia" w:ascii="宋体" w:hAnsi="宋体" w:cs="楷体_GB2312"/>
          <w:color w:val="auto"/>
          <w:sz w:val="24"/>
          <w:lang w:val="zh-CN"/>
        </w:rPr>
        <w:t>购人、代理机构在投标截止时间前有权澄清修改、补充已发售的《谈判文件》。</w:t>
      </w:r>
    </w:p>
    <w:p w14:paraId="58E95810">
      <w:pPr>
        <w:autoSpaceDE w:val="0"/>
        <w:autoSpaceDN w:val="0"/>
        <w:adjustRightInd w:val="0"/>
        <w:snapToGrid w:val="0"/>
        <w:spacing w:before="156" w:beforeLines="50" w:line="300" w:lineRule="auto"/>
        <w:ind w:firstLine="539"/>
        <w:rPr>
          <w:rFonts w:ascii="宋体" w:hAnsi="宋体"/>
          <w:color w:val="auto"/>
          <w:sz w:val="24"/>
        </w:rPr>
      </w:pPr>
      <w:r>
        <w:rPr>
          <w:rFonts w:ascii="宋体" w:hAnsi="宋体" w:cs="楷体_GB2312"/>
          <w:color w:val="auto"/>
          <w:sz w:val="24"/>
          <w:lang w:val="zh-CN"/>
        </w:rPr>
        <w:t>2.3.</w:t>
      </w:r>
      <w:r>
        <w:rPr>
          <w:rFonts w:ascii="宋体" w:hAnsi="宋体"/>
          <w:color w:val="auto"/>
          <w:sz w:val="24"/>
        </w:rPr>
        <w:t xml:space="preserve">2 </w:t>
      </w:r>
      <w:r>
        <w:rPr>
          <w:rFonts w:hint="eastAsia" w:ascii="宋体" w:hAnsi="宋体"/>
          <w:color w:val="auto"/>
          <w:sz w:val="24"/>
        </w:rPr>
        <w:t>谈判过程中对</w:t>
      </w:r>
      <w:r>
        <w:rPr>
          <w:rFonts w:hint="eastAsia" w:ascii="宋体" w:hAnsi="宋体"/>
          <w:color w:val="auto"/>
          <w:sz w:val="24"/>
          <w:lang w:eastAsia="zh-CN"/>
        </w:rPr>
        <w:t>《谈判文件》</w:t>
      </w:r>
      <w:r>
        <w:rPr>
          <w:rFonts w:hint="eastAsia" w:ascii="宋体" w:hAnsi="宋体"/>
          <w:color w:val="auto"/>
          <w:sz w:val="24"/>
        </w:rPr>
        <w:t>的变动见第四章</w:t>
      </w:r>
      <w:r>
        <w:rPr>
          <w:rFonts w:hint="eastAsia" w:ascii="宋体" w:hAnsi="宋体"/>
          <w:color w:val="auto"/>
          <w:sz w:val="24"/>
          <w:lang w:eastAsia="zh-CN"/>
        </w:rPr>
        <w:t>“</w:t>
      </w:r>
      <w:r>
        <w:rPr>
          <w:rFonts w:hint="eastAsia" w:ascii="宋体" w:hAnsi="宋体"/>
          <w:color w:val="auto"/>
          <w:sz w:val="24"/>
        </w:rPr>
        <w:t>评审办法</w:t>
      </w:r>
      <w:r>
        <w:rPr>
          <w:rFonts w:hint="eastAsia" w:ascii="宋体" w:hAnsi="宋体"/>
          <w:color w:val="auto"/>
          <w:sz w:val="24"/>
          <w:lang w:eastAsia="zh-CN"/>
        </w:rPr>
        <w:t>”</w:t>
      </w:r>
      <w:r>
        <w:rPr>
          <w:rFonts w:ascii="宋体" w:hAnsi="宋体"/>
          <w:color w:val="auto"/>
          <w:sz w:val="24"/>
        </w:rPr>
        <w:t>3.5</w:t>
      </w:r>
      <w:r>
        <w:rPr>
          <w:rFonts w:hint="eastAsia" w:ascii="宋体" w:hAnsi="宋体"/>
          <w:color w:val="auto"/>
          <w:sz w:val="24"/>
        </w:rPr>
        <w:t>款谈判规则。</w:t>
      </w:r>
    </w:p>
    <w:p w14:paraId="6C2D1096">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《谈判文件》的澄清、修改、补充的</w:t>
      </w:r>
      <w:r>
        <w:rPr>
          <w:rFonts w:ascii="黑体" w:hAnsi="黑体" w:eastAsia="黑体" w:cs="楷体_GB2312"/>
          <w:b/>
          <w:color w:val="auto"/>
          <w:sz w:val="24"/>
          <w:lang w:val="zh-CN"/>
        </w:rPr>
        <w:t>通知</w:t>
      </w:r>
      <w:r>
        <w:rPr>
          <w:rFonts w:hint="eastAsia" w:ascii="黑体" w:hAnsi="黑体" w:eastAsia="黑体" w:cs="楷体_GB2312"/>
          <w:b/>
          <w:color w:val="auto"/>
          <w:sz w:val="24"/>
          <w:lang w:val="zh-CN"/>
        </w:rPr>
        <w:t>，及</w:t>
      </w:r>
      <w:r>
        <w:rPr>
          <w:rFonts w:ascii="黑体" w:hAnsi="黑体" w:eastAsia="黑体" w:cs="楷体_GB2312"/>
          <w:b/>
          <w:color w:val="auto"/>
          <w:sz w:val="24"/>
          <w:lang w:val="zh-CN"/>
        </w:rPr>
        <w:t>相应</w:t>
      </w:r>
      <w:r>
        <w:rPr>
          <w:rFonts w:hint="eastAsia" w:ascii="黑体" w:hAnsi="黑体" w:eastAsia="黑体" w:cs="楷体_GB2312"/>
          <w:b/>
          <w:color w:val="auto"/>
          <w:sz w:val="24"/>
          <w:lang w:val="zh-CN"/>
        </w:rPr>
        <w:t>时间变更</w:t>
      </w:r>
    </w:p>
    <w:p w14:paraId="6CBD2405">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color w:val="auto"/>
          <w:sz w:val="24"/>
          <w:lang w:val="zh-CN"/>
        </w:rPr>
        <w:t xml:space="preserve">2.4.1 </w:t>
      </w:r>
      <w:r>
        <w:rPr>
          <w:rFonts w:hint="eastAsia" w:ascii="宋体" w:hAnsi="宋体" w:cs="楷体_GB2312"/>
          <w:color w:val="auto"/>
          <w:sz w:val="24"/>
          <w:lang w:val="zh-CN"/>
        </w:rPr>
        <w:t>《谈判文件》在投标截止时间前的所有澄清、修改（包括时间变更等）、补充事项，均在“谈判公告”所述媒体予以公告。</w:t>
      </w:r>
      <w:r>
        <w:rPr>
          <w:rFonts w:hint="eastAsia" w:ascii="宋体" w:hAnsi="宋体" w:cs="楷体_GB2312"/>
          <w:b/>
          <w:color w:val="auto"/>
          <w:sz w:val="24"/>
          <w:lang w:val="zh-CN"/>
        </w:rPr>
        <w:t>澄清或修改公告一经在</w:t>
      </w:r>
      <w:r>
        <w:rPr>
          <w:rFonts w:ascii="宋体" w:hAnsi="宋体" w:cs="楷体_GB2312"/>
          <w:b/>
          <w:color w:val="auto"/>
          <w:sz w:val="24"/>
          <w:lang w:val="zh-CN"/>
        </w:rPr>
        <w:t>法定网</w:t>
      </w:r>
      <w:r>
        <w:rPr>
          <w:rFonts w:hint="eastAsia" w:ascii="宋体" w:hAnsi="宋体" w:cs="楷体_GB2312"/>
          <w:b/>
          <w:color w:val="auto"/>
          <w:sz w:val="24"/>
          <w:lang w:val="zh-CN"/>
        </w:rPr>
        <w:t>站以</w:t>
      </w:r>
      <w:r>
        <w:rPr>
          <w:rFonts w:ascii="宋体" w:hAnsi="宋体" w:cs="楷体_GB2312"/>
          <w:b/>
          <w:color w:val="auto"/>
          <w:sz w:val="24"/>
          <w:lang w:val="zh-CN"/>
        </w:rPr>
        <w:t>公</w:t>
      </w:r>
      <w:r>
        <w:rPr>
          <w:rFonts w:hint="eastAsia" w:ascii="宋体" w:hAnsi="宋体" w:cs="楷体_GB2312"/>
          <w:b/>
          <w:color w:val="auto"/>
          <w:sz w:val="24"/>
          <w:lang w:val="zh-CN"/>
        </w:rPr>
        <w:t>告</w:t>
      </w:r>
      <w:r>
        <w:rPr>
          <w:rFonts w:ascii="宋体" w:hAnsi="宋体" w:cs="楷体_GB2312"/>
          <w:b/>
          <w:color w:val="auto"/>
          <w:sz w:val="24"/>
          <w:lang w:val="zh-CN"/>
        </w:rPr>
        <w:t>形式</w:t>
      </w:r>
      <w:r>
        <w:rPr>
          <w:rFonts w:hint="eastAsia" w:ascii="宋体" w:hAnsi="宋体" w:cs="楷体_GB2312"/>
          <w:b/>
          <w:color w:val="auto"/>
          <w:sz w:val="24"/>
          <w:lang w:val="zh-CN"/>
        </w:rPr>
        <w:t>发布，依法视为书面通知，不再另行通知。</w:t>
      </w:r>
    </w:p>
    <w:p w14:paraId="08B811BF">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基于网</w:t>
      </w:r>
      <w:r>
        <w:rPr>
          <w:rFonts w:ascii="宋体" w:hAnsi="宋体" w:cs="楷体_GB2312"/>
          <w:b/>
          <w:color w:val="auto"/>
          <w:sz w:val="24"/>
          <w:lang w:val="zh-CN"/>
        </w:rPr>
        <w:t>上</w:t>
      </w:r>
      <w:r>
        <w:rPr>
          <w:rFonts w:hint="eastAsia" w:ascii="宋体" w:hAnsi="宋体" w:cs="楷体_GB2312"/>
          <w:b/>
          <w:color w:val="auto"/>
          <w:sz w:val="24"/>
          <w:lang w:val="zh-CN"/>
        </w:rPr>
        <w:t>电</w:t>
      </w:r>
      <w:r>
        <w:rPr>
          <w:rFonts w:ascii="宋体" w:hAnsi="宋体" w:cs="楷体_GB2312"/>
          <w:b/>
          <w:color w:val="auto"/>
          <w:sz w:val="24"/>
          <w:lang w:val="zh-CN"/>
        </w:rPr>
        <w:t>子</w:t>
      </w:r>
      <w:r>
        <w:rPr>
          <w:rFonts w:hint="eastAsia" w:ascii="宋体" w:hAnsi="宋体" w:cs="楷体_GB2312"/>
          <w:b/>
          <w:color w:val="auto"/>
          <w:sz w:val="24"/>
          <w:lang w:val="zh-CN"/>
        </w:rPr>
        <w:t>交易</w:t>
      </w:r>
      <w:r>
        <w:rPr>
          <w:rFonts w:ascii="宋体" w:hAnsi="宋体" w:cs="楷体_GB2312"/>
          <w:b/>
          <w:color w:val="auto"/>
          <w:sz w:val="24"/>
          <w:lang w:val="zh-CN"/>
        </w:rPr>
        <w:t>的特点—</w:t>
      </w:r>
      <w:r>
        <w:rPr>
          <w:rFonts w:ascii="宋体" w:cs="楷体_GB2312"/>
          <w:b/>
          <w:color w:val="auto"/>
          <w:sz w:val="24"/>
          <w:lang w:val="zh-CN"/>
        </w:rPr>
        <w:t>-</w:t>
      </w:r>
      <w:r>
        <w:rPr>
          <w:rFonts w:hint="eastAsia" w:ascii="宋体" w:hAnsi="宋体" w:cs="楷体_GB2312"/>
          <w:b/>
          <w:color w:val="auto"/>
          <w:sz w:val="24"/>
          <w:lang w:val="zh-CN"/>
        </w:rPr>
        <w:t>无权限获知或通知潜在投标人，潜在投标人应随时关注“谈判公告”所</w:t>
      </w:r>
      <w:r>
        <w:rPr>
          <w:rFonts w:ascii="宋体" w:hAnsi="宋体" w:cs="楷体_GB2312"/>
          <w:b/>
          <w:color w:val="auto"/>
          <w:sz w:val="24"/>
          <w:lang w:val="zh-CN"/>
        </w:rPr>
        <w:t>述媒体</w:t>
      </w:r>
      <w:r>
        <w:rPr>
          <w:rFonts w:hint="eastAsia" w:ascii="宋体" w:hAnsi="宋体" w:cs="楷体_GB2312"/>
          <w:b/>
          <w:color w:val="auto"/>
          <w:sz w:val="24"/>
          <w:lang w:val="zh-CN"/>
        </w:rPr>
        <w:t>相关项目信息（为免各部门网站出现维护等情况，潜在投标人应对“谈判公告”所述媒体逐一查阅），如有遗漏，后果自负。</w:t>
      </w:r>
    </w:p>
    <w:p w14:paraId="0E0F0B85">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cs="楷体_GB2312"/>
          <w:color w:val="auto"/>
          <w:sz w:val="24"/>
          <w:lang w:val="zh-CN"/>
        </w:rPr>
        <w:t>2.</w:t>
      </w:r>
      <w:r>
        <w:rPr>
          <w:rFonts w:ascii="宋体" w:cs="楷体_GB2312"/>
          <w:color w:val="auto"/>
          <w:sz w:val="24"/>
          <w:lang w:val="zh-CN"/>
        </w:rPr>
        <w:t>4</w:t>
      </w:r>
      <w:r>
        <w:rPr>
          <w:rFonts w:hint="eastAsia" w:ascii="宋体" w:cs="楷体_GB2312"/>
          <w:color w:val="auto"/>
          <w:sz w:val="24"/>
          <w:lang w:val="zh-CN"/>
        </w:rPr>
        <w:t>.2</w:t>
      </w:r>
      <w:r>
        <w:rPr>
          <w:rFonts w:ascii="宋体" w:cs="楷体_GB2312"/>
          <w:color w:val="auto"/>
          <w:sz w:val="24"/>
          <w:lang w:val="zh-CN"/>
        </w:rPr>
        <w:t xml:space="preserve"> </w:t>
      </w:r>
      <w:r>
        <w:rPr>
          <w:rFonts w:hint="eastAsia" w:ascii="宋体" w:cs="楷体_GB2312"/>
          <w:color w:val="auto"/>
          <w:sz w:val="24"/>
          <w:lang w:val="zh-CN"/>
        </w:rPr>
        <w:t>《谈判文件》的澄清、修改、补充书构成《谈判文件》的组成部分，并取代《谈判文件》中被澄清、修改处，对所有投标人均有约束力。</w:t>
      </w:r>
    </w:p>
    <w:p w14:paraId="29DB4DC8">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投标截止时间前的澄清修改补充发出的时间不满足投标人须知前附表规定时间，并且澄清修改补充内容影响《响应文件》编制的，代理机构可视采购具体情况延长投标截止时间和开标时间，并将在“谈判公告”所述媒体予以公告。</w:t>
      </w:r>
    </w:p>
    <w:p w14:paraId="001A526C">
      <w:pPr>
        <w:autoSpaceDE w:val="0"/>
        <w:autoSpaceDN w:val="0"/>
        <w:adjustRightInd w:val="0"/>
        <w:snapToGrid w:val="0"/>
        <w:spacing w:before="156" w:beforeLines="50" w:line="300" w:lineRule="auto"/>
        <w:ind w:firstLine="539"/>
        <w:rPr>
          <w:rFonts w:ascii="宋体" w:cs="楷体_GB2312"/>
          <w:color w:val="auto"/>
          <w:sz w:val="24"/>
        </w:rPr>
      </w:pPr>
    </w:p>
    <w:p w14:paraId="69115FFA">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8" w:name="_Toc581"/>
      <w:r>
        <w:rPr>
          <w:rFonts w:ascii="黑体" w:hAnsi="黑体" w:eastAsia="黑体" w:cs="楷体_GB2312"/>
          <w:b/>
          <w:bCs/>
          <w:color w:val="auto"/>
          <w:sz w:val="28"/>
          <w:szCs w:val="28"/>
          <w:lang w:val="zh-CN"/>
        </w:rPr>
        <w:t>3.</w:t>
      </w:r>
      <w:r>
        <w:rPr>
          <w:rFonts w:hint="eastAsia" w:ascii="黑体" w:hAnsi="黑体" w:eastAsia="黑体" w:cs="楷体_GB2312"/>
          <w:b/>
          <w:bCs/>
          <w:color w:val="auto"/>
          <w:sz w:val="28"/>
          <w:szCs w:val="28"/>
          <w:lang w:val="zh-CN"/>
        </w:rPr>
        <w:t>《响应文件》</w:t>
      </w:r>
      <w:bookmarkEnd w:id="28"/>
    </w:p>
    <w:p w14:paraId="44B7CF0A">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 xml:space="preserve"> 投标人应仔细阅读《谈判文件》的所有内容，按《谈判文件》的要求提供《响应文件》，并保证所提供全部资料的真实性。《响应文件》应对《谈判文件》实质性要求作出实质性响应。谈判小组对《响应文件》的有效性、完整性和响应程度进行审查，不满足实质性要求的为</w:t>
      </w:r>
      <w:r>
        <w:rPr>
          <w:rFonts w:hint="eastAsia" w:ascii="宋体" w:hAnsi="宋体" w:cs="楷体_GB2312"/>
          <w:b/>
          <w:color w:val="auto"/>
          <w:sz w:val="24"/>
          <w:lang w:val="zh-CN"/>
        </w:rPr>
        <w:t>无效投标</w:t>
      </w:r>
      <w:r>
        <w:rPr>
          <w:rFonts w:hint="eastAsia" w:ascii="宋体" w:hAnsi="宋体" w:cs="楷体_GB2312"/>
          <w:color w:val="auto"/>
          <w:sz w:val="24"/>
          <w:lang w:val="zh-CN"/>
        </w:rPr>
        <w:t>。</w:t>
      </w:r>
    </w:p>
    <w:p w14:paraId="375D4EF4">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《响应文件》的组成</w:t>
      </w:r>
    </w:p>
    <w:p w14:paraId="72F5D08E">
      <w:pPr>
        <w:adjustRightInd w:val="0"/>
        <w:snapToGrid w:val="0"/>
        <w:spacing w:before="156" w:beforeLines="50" w:line="300" w:lineRule="auto"/>
        <w:ind w:firstLine="539"/>
        <w:textAlignment w:val="top"/>
        <w:rPr>
          <w:rFonts w:ascii="宋体" w:cs="楷体_GB2312"/>
          <w:color w:val="auto"/>
          <w:sz w:val="24"/>
          <w:lang w:val="zh-CN"/>
        </w:rPr>
      </w:pPr>
      <w:r>
        <w:rPr>
          <w:rFonts w:ascii="宋体" w:hAnsi="宋体" w:cs="楷体_GB2312"/>
          <w:sz w:val="24"/>
          <w:lang w:val="zh-CN"/>
        </w:rPr>
        <w:t xml:space="preserve">3.2.1 </w:t>
      </w:r>
      <w:r>
        <w:rPr>
          <w:rFonts w:hint="eastAsia" w:ascii="宋体" w:hAnsi="宋体" w:cs="楷体_GB2312"/>
          <w:sz w:val="24"/>
          <w:lang w:val="zh-CN"/>
        </w:rPr>
        <w:t>《响应文件》</w:t>
      </w:r>
      <w:r>
        <w:rPr>
          <w:rFonts w:hint="eastAsia" w:ascii="宋体" w:hAnsi="宋体" w:cs="楷体_GB2312"/>
          <w:color w:val="auto"/>
          <w:sz w:val="24"/>
          <w:lang w:val="zh-CN"/>
        </w:rPr>
        <w:t>组成如有缺项，谈判小组按照实质性判断原则（实质性要求和实质性响应两因素）、有权视情况将其作无效投标处理，投标人自负此项风险；《响应文件》组成内容未对《谈判文件》实质性要求作出实质性响应，谈判小组按照实质性判断原则、视情况将其作无效投标处理，投标人自负此项风险。</w:t>
      </w:r>
    </w:p>
    <w:p w14:paraId="43587065">
      <w:pPr>
        <w:adjustRightInd w:val="0"/>
        <w:snapToGrid w:val="0"/>
        <w:spacing w:before="156" w:beforeLines="50" w:line="300" w:lineRule="auto"/>
        <w:ind w:firstLine="539"/>
        <w:textAlignment w:val="top"/>
        <w:rPr>
          <w:rFonts w:ascii="宋体" w:hAnsi="宋体" w:eastAsia="宋体" w:cs="楷体_GB2312"/>
          <w:sz w:val="24"/>
          <w:lang w:val="zh-CN"/>
        </w:rPr>
      </w:pPr>
      <w:r>
        <w:rPr>
          <w:rFonts w:ascii="宋体" w:hAnsi="宋体" w:eastAsia="宋体" w:cs="楷体_GB2312"/>
          <w:sz w:val="24"/>
          <w:lang w:val="zh-CN"/>
        </w:rPr>
        <w:t xml:space="preserve">3.2.2 </w:t>
      </w:r>
      <w:r>
        <w:rPr>
          <w:rFonts w:hint="eastAsia" w:ascii="宋体" w:hAnsi="宋体" w:eastAsia="宋体" w:cs="楷体_GB2312"/>
          <w:sz w:val="24"/>
          <w:lang w:val="zh-CN"/>
        </w:rPr>
        <w:t>《响应文件》应包括下列内容：</w:t>
      </w:r>
    </w:p>
    <w:p w14:paraId="5D87A1D1">
      <w:pPr>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）投标书</w:t>
      </w:r>
    </w:p>
    <w:p w14:paraId="30D2EB92">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ascii="宋体" w:hAnsi="宋体"/>
          <w:color w:val="auto"/>
          <w:sz w:val="24"/>
          <w:szCs w:val="24"/>
        </w:rPr>
        <w:t>开标一览表（即交易系统中报价一览表）</w:t>
      </w:r>
    </w:p>
    <w:p w14:paraId="52D50140">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lang w:val="en-US" w:eastAsia="zh-CN"/>
        </w:rPr>
        <w:t>3</w:t>
      </w:r>
      <w:r>
        <w:rPr>
          <w:rFonts w:hint="eastAsia" w:ascii="宋体" w:hAnsi="宋体" w:cs="楷体_GB2312"/>
          <w:color w:val="auto"/>
          <w:sz w:val="24"/>
          <w:lang w:val="zh-CN"/>
        </w:rPr>
        <w:t>）服务方案及服务质量承诺</w:t>
      </w:r>
    </w:p>
    <w:p w14:paraId="6EC52E68">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lang w:val="en-US" w:eastAsia="zh-CN"/>
        </w:rPr>
        <w:t>4</w:t>
      </w:r>
      <w:r>
        <w:rPr>
          <w:rFonts w:hint="eastAsia" w:ascii="宋体" w:hAnsi="宋体" w:cs="楷体_GB2312"/>
          <w:color w:val="auto"/>
          <w:sz w:val="24"/>
          <w:lang w:val="zh-CN"/>
        </w:rPr>
        <w:t>）服务拟投入设备（</w:t>
      </w:r>
      <w:r>
        <w:rPr>
          <w:rFonts w:hint="eastAsia" w:ascii="宋体" w:hAnsi="宋体" w:cs="楷体_GB2312"/>
          <w:color w:val="auto"/>
          <w:sz w:val="24"/>
          <w:lang w:val="en-US" w:eastAsia="zh-CN"/>
        </w:rPr>
        <w:t>产品</w:t>
      </w:r>
      <w:r>
        <w:rPr>
          <w:rFonts w:hint="eastAsia" w:ascii="宋体" w:hAnsi="宋体" w:cs="楷体_GB2312"/>
          <w:color w:val="auto"/>
          <w:sz w:val="24"/>
          <w:lang w:val="zh-CN"/>
        </w:rPr>
        <w:t>）清单及其技术参数</w:t>
      </w:r>
    </w:p>
    <w:p w14:paraId="79566AB4">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lang w:val="en-US" w:eastAsia="zh-CN"/>
        </w:rPr>
        <w:t>5</w:t>
      </w:r>
      <w:r>
        <w:rPr>
          <w:rFonts w:hint="eastAsia" w:ascii="宋体" w:hAnsi="宋体" w:cs="楷体_GB2312"/>
          <w:color w:val="auto"/>
          <w:sz w:val="24"/>
          <w:lang w:val="zh-CN"/>
        </w:rPr>
        <w:t>）服务拟投入人员情况表</w:t>
      </w:r>
    </w:p>
    <w:p w14:paraId="400EA312">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lang w:val="en-US" w:eastAsia="zh-CN"/>
        </w:rPr>
        <w:t>6</w:t>
      </w:r>
      <w:r>
        <w:rPr>
          <w:rFonts w:hint="eastAsia" w:ascii="宋体" w:hAnsi="宋体" w:cs="楷体_GB2312"/>
          <w:color w:val="auto"/>
          <w:sz w:val="24"/>
          <w:lang w:val="zh-CN"/>
        </w:rPr>
        <w:t>）偏差表</w:t>
      </w:r>
    </w:p>
    <w:p w14:paraId="12FD7447">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hint="eastAsia" w:ascii="宋体" w:hAnsi="宋体" w:cs="楷体_GB2312"/>
          <w:color w:val="auto"/>
          <w:sz w:val="24"/>
          <w:lang w:val="en-US" w:eastAsia="zh-CN"/>
        </w:rPr>
        <w:t>7</w:t>
      </w:r>
      <w:r>
        <w:rPr>
          <w:rFonts w:hint="eastAsia" w:ascii="宋体" w:hAnsi="宋体" w:cs="楷体_GB2312"/>
          <w:color w:val="auto"/>
          <w:sz w:val="24"/>
          <w:lang w:val="zh-CN"/>
        </w:rPr>
        <w:t>）</w:t>
      </w:r>
      <w:r>
        <w:rPr>
          <w:rFonts w:hint="eastAsia" w:ascii="宋体" w:hAnsi="宋体"/>
          <w:color w:val="auto"/>
          <w:sz w:val="24"/>
        </w:rPr>
        <w:t>关于资格的声明函</w:t>
      </w:r>
    </w:p>
    <w:p w14:paraId="4053D69D">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hint="eastAsia" w:ascii="宋体" w:hAnsi="宋体" w:cs="楷体_GB2312"/>
          <w:color w:val="auto"/>
          <w:sz w:val="24"/>
          <w:lang w:val="en-US" w:eastAsia="zh-CN"/>
        </w:rPr>
        <w:t>8</w:t>
      </w:r>
      <w:r>
        <w:rPr>
          <w:rFonts w:hint="eastAsia" w:ascii="宋体" w:hAnsi="宋体" w:cs="楷体_GB2312"/>
          <w:color w:val="auto"/>
          <w:sz w:val="24"/>
          <w:lang w:val="zh-CN"/>
        </w:rPr>
        <w:t>）</w:t>
      </w:r>
      <w:r>
        <w:rPr>
          <w:rFonts w:hint="eastAsia" w:ascii="宋体" w:hAnsi="宋体"/>
          <w:color w:val="auto"/>
          <w:sz w:val="24"/>
        </w:rPr>
        <w:t>反商业贿赂承诺书</w:t>
      </w:r>
    </w:p>
    <w:p w14:paraId="7011CF9B">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hint="eastAsia" w:ascii="宋体" w:hAnsi="宋体" w:cs="楷体_GB2312"/>
          <w:color w:val="auto"/>
          <w:sz w:val="24"/>
          <w:lang w:val="en-US" w:eastAsia="zh-CN"/>
        </w:rPr>
        <w:t>9</w:t>
      </w:r>
      <w:r>
        <w:rPr>
          <w:rFonts w:hint="eastAsia" w:ascii="宋体" w:hAnsi="宋体" w:cs="楷体_GB2312"/>
          <w:color w:val="auto"/>
          <w:sz w:val="24"/>
          <w:lang w:val="zh-CN"/>
        </w:rPr>
        <w:t>）</w:t>
      </w:r>
      <w:r>
        <w:rPr>
          <w:rFonts w:hint="eastAsia" w:ascii="宋体" w:hAnsi="宋体"/>
          <w:color w:val="auto"/>
          <w:sz w:val="24"/>
        </w:rPr>
        <w:t>履约承诺书</w:t>
      </w:r>
    </w:p>
    <w:p w14:paraId="02E0AAA8">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lang w:val="en-US" w:eastAsia="zh-CN"/>
        </w:rPr>
        <w:t>0</w:t>
      </w:r>
      <w:r>
        <w:rPr>
          <w:rFonts w:hint="eastAsia" w:ascii="宋体" w:hAnsi="宋体"/>
          <w:color w:val="auto"/>
          <w:sz w:val="24"/>
        </w:rPr>
        <w:t>）资格要求相关证明材料（文件）</w:t>
      </w:r>
    </w:p>
    <w:p w14:paraId="3322FC87">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lang w:val="en-US" w:eastAsia="zh-CN"/>
        </w:rPr>
        <w:t>1</w:t>
      </w:r>
      <w:r>
        <w:rPr>
          <w:rFonts w:hint="eastAsia" w:ascii="宋体" w:hAnsi="宋体"/>
          <w:color w:val="auto"/>
          <w:sz w:val="24"/>
        </w:rPr>
        <w:t>）采购项目及服务要求所需的其他材料（按条款需要）</w:t>
      </w:r>
    </w:p>
    <w:p w14:paraId="7B8B663A">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lang w:val="en-US" w:eastAsia="zh-CN"/>
        </w:rPr>
        <w:t>2</w:t>
      </w:r>
      <w:r>
        <w:rPr>
          <w:rFonts w:hint="eastAsia" w:ascii="宋体" w:hAnsi="宋体"/>
          <w:color w:val="auto"/>
          <w:sz w:val="24"/>
        </w:rPr>
        <w:t>）投标人须知所需的其他材料（按条款需要）</w:t>
      </w:r>
    </w:p>
    <w:p w14:paraId="4B99EA5F">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lang w:val="en-US" w:eastAsia="zh-CN"/>
        </w:rPr>
        <w:t>3</w:t>
      </w:r>
      <w:r>
        <w:rPr>
          <w:rFonts w:hint="eastAsia" w:ascii="宋体" w:hAnsi="宋体"/>
          <w:color w:val="auto"/>
          <w:sz w:val="24"/>
        </w:rPr>
        <w:t>）评审办法所需的其他材料（按条款需要）</w:t>
      </w:r>
    </w:p>
    <w:p w14:paraId="0F673080">
      <w:pPr>
        <w:autoSpaceDE w:val="0"/>
        <w:autoSpaceDN w:val="0"/>
        <w:adjustRightInd w:val="0"/>
        <w:snapToGrid w:val="0"/>
        <w:spacing w:line="300" w:lineRule="auto"/>
        <w:ind w:firstLine="520" w:firstLineChars="217"/>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en-US" w:eastAsia="zh-CN"/>
        </w:rPr>
        <w:t>4</w:t>
      </w:r>
      <w:r>
        <w:rPr>
          <w:rFonts w:hint="eastAsia" w:ascii="宋体" w:hAnsi="宋体" w:cs="楷体_GB2312"/>
          <w:color w:val="auto"/>
          <w:sz w:val="24"/>
          <w:lang w:val="zh-CN"/>
        </w:rPr>
        <w:t>）</w:t>
      </w:r>
      <w:r>
        <w:rPr>
          <w:rFonts w:hint="eastAsia" w:ascii="宋体" w:hAnsi="宋体"/>
          <w:color w:val="auto"/>
          <w:sz w:val="24"/>
        </w:rPr>
        <w:t>投标人认为有必要提交的其它材料</w:t>
      </w:r>
    </w:p>
    <w:p w14:paraId="300E747B">
      <w:pPr>
        <w:adjustRightInd w:val="0"/>
        <w:snapToGrid w:val="0"/>
        <w:spacing w:before="156" w:beforeLines="50" w:line="300" w:lineRule="auto"/>
        <w:ind w:firstLine="539"/>
        <w:textAlignment w:val="top"/>
        <w:rPr>
          <w:rFonts w:ascii="宋体" w:hAnsi="宋体" w:eastAsia="宋体" w:cs="楷体_GB2312"/>
          <w:sz w:val="24"/>
          <w:lang w:val="zh-CN"/>
        </w:rPr>
      </w:pPr>
      <w:r>
        <w:rPr>
          <w:rFonts w:ascii="宋体" w:hAnsi="宋体" w:eastAsia="宋体" w:cs="楷体_GB2312"/>
          <w:sz w:val="24"/>
          <w:lang w:val="zh-CN"/>
        </w:rPr>
        <w:t>3.2.3</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按照本章第</w:t>
      </w:r>
      <w:r>
        <w:rPr>
          <w:rFonts w:ascii="宋体" w:hAnsi="宋体" w:eastAsia="宋体" w:cs="楷体_GB2312"/>
          <w:sz w:val="24"/>
          <w:lang w:val="zh-CN"/>
        </w:rPr>
        <w:t>4.3</w:t>
      </w:r>
      <w:r>
        <w:rPr>
          <w:rFonts w:hint="eastAsia" w:ascii="宋体" w:hAnsi="宋体" w:eastAsia="宋体" w:cs="楷体_GB2312"/>
          <w:sz w:val="24"/>
          <w:lang w:val="zh-CN"/>
        </w:rPr>
        <w:t>款、第四章第</w:t>
      </w:r>
      <w:r>
        <w:rPr>
          <w:rFonts w:ascii="宋体" w:hAnsi="宋体" w:eastAsia="宋体" w:cs="楷体_GB2312"/>
          <w:sz w:val="24"/>
          <w:lang w:val="zh-CN"/>
        </w:rPr>
        <w:t>3.4</w:t>
      </w:r>
      <w:r>
        <w:rPr>
          <w:rFonts w:hint="eastAsia" w:ascii="宋体" w:hAnsi="宋体" w:eastAsia="宋体" w:cs="楷体_GB2312"/>
          <w:sz w:val="24"/>
          <w:lang w:val="zh-CN"/>
        </w:rPr>
        <w:t>款规定，对《响应文件》的补充、修改、澄清、说明或者更正构成《响应文件》的组成部分。</w:t>
      </w:r>
    </w:p>
    <w:p w14:paraId="7EBD8D0C">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投标报价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14:paraId="3D65EAF7">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投标有效期</w:t>
      </w:r>
    </w:p>
    <w:p w14:paraId="5939DE01">
      <w:pPr>
        <w:adjustRightInd w:val="0"/>
        <w:snapToGrid w:val="0"/>
        <w:spacing w:before="156" w:beforeLines="50" w:line="300" w:lineRule="auto"/>
        <w:ind w:firstLine="539"/>
        <w:textAlignment w:val="top"/>
        <w:rPr>
          <w:rFonts w:ascii="宋体" w:hAnsi="宋体" w:eastAsia="宋体" w:cs="楷体_GB2312"/>
          <w:sz w:val="24"/>
          <w:lang w:val="zh-CN"/>
        </w:rPr>
      </w:pPr>
      <w:r>
        <w:rPr>
          <w:rFonts w:ascii="宋体" w:hAnsi="宋体" w:eastAsia="宋体" w:cs="楷体_GB2312"/>
          <w:sz w:val="24"/>
          <w:lang w:val="zh-CN"/>
        </w:rPr>
        <w:t>3.4.1</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投标有效期见投标人须知前附表。《响应文件》在投标有效期内保持不变（包括价格等《响应文件》各项条款）。</w:t>
      </w:r>
    </w:p>
    <w:p w14:paraId="62E5EA27">
      <w:pPr>
        <w:adjustRightInd w:val="0"/>
        <w:snapToGrid w:val="0"/>
        <w:spacing w:before="156" w:beforeLines="50" w:line="300" w:lineRule="auto"/>
        <w:ind w:firstLine="539"/>
        <w:textAlignment w:val="top"/>
        <w:rPr>
          <w:rFonts w:ascii="宋体" w:hAnsi="宋体" w:eastAsia="宋体" w:cs="楷体_GB2312"/>
          <w:sz w:val="24"/>
          <w:lang w:val="zh-CN"/>
        </w:rPr>
      </w:pPr>
      <w:r>
        <w:rPr>
          <w:rFonts w:ascii="宋体" w:hAnsi="宋体" w:eastAsia="宋体" w:cs="楷体_GB2312"/>
          <w:sz w:val="24"/>
          <w:lang w:val="zh-CN"/>
        </w:rPr>
        <w:t>3.4.2</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在投标有效期内，投标人撤销或修改其《响应文件》的，应承担《谈判文件》和法律规定的责任。</w:t>
      </w:r>
    </w:p>
    <w:p w14:paraId="577E2C5C">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rPr>
        <w:t>投标承诺函</w:t>
      </w:r>
      <w:r>
        <w:rPr>
          <w:rFonts w:hint="eastAsia" w:ascii="黑体" w:hAnsi="黑体" w:eastAsia="黑体" w:cs="楷体_GB2312"/>
          <w:b/>
          <w:color w:val="auto"/>
          <w:sz w:val="24"/>
          <w:lang w:val="zh-CN"/>
        </w:rPr>
        <w:t>（</w:t>
      </w:r>
      <w:r>
        <w:rPr>
          <w:rFonts w:hint="eastAsia" w:ascii="黑体" w:hAnsi="黑体" w:eastAsia="黑体" w:cs="楷体_GB2312"/>
          <w:b/>
          <w:color w:val="auto"/>
          <w:sz w:val="24"/>
        </w:rPr>
        <w:t>替代</w:t>
      </w:r>
      <w:r>
        <w:rPr>
          <w:rFonts w:hint="eastAsia" w:ascii="黑体" w:hAnsi="黑体" w:eastAsia="黑体" w:cs="楷体_GB2312"/>
          <w:b/>
          <w:color w:val="auto"/>
          <w:sz w:val="24"/>
          <w:lang w:val="zh-CN"/>
        </w:rPr>
        <w:t>投标保证金）</w:t>
      </w:r>
    </w:p>
    <w:p w14:paraId="2FB64C00">
      <w:pPr>
        <w:adjustRightInd w:val="0"/>
        <w:snapToGrid w:val="0"/>
        <w:spacing w:before="156" w:beforeLines="50" w:line="300" w:lineRule="auto"/>
        <w:ind w:firstLine="539"/>
        <w:textAlignment w:val="top"/>
        <w:rPr>
          <w:rFonts w:ascii="宋体" w:hAnsi="宋体" w:eastAsia="宋体" w:cs="楷体_GB2312"/>
          <w:sz w:val="24"/>
          <w:lang w:val="zh-CN"/>
        </w:rPr>
      </w:pPr>
      <w:r>
        <w:rPr>
          <w:rFonts w:hint="eastAsia" w:ascii="宋体" w:hAnsi="宋体" w:eastAsia="宋体" w:cs="楷体_GB2312"/>
          <w:sz w:val="24"/>
          <w:lang w:val="zh-CN"/>
        </w:rPr>
        <w:t>3.5.1 按照豫财购〔2019〕4号文件规定，本项目以投标承诺函的形式替代投标保证金，供应商应按附件格式进行投标承诺，违背承诺的将承担相应的法律责任及违约责任。</w:t>
      </w:r>
    </w:p>
    <w:p w14:paraId="32867905">
      <w:pPr>
        <w:adjustRightInd w:val="0"/>
        <w:snapToGrid w:val="0"/>
        <w:spacing w:before="156" w:beforeLines="50" w:line="300" w:lineRule="auto"/>
        <w:ind w:firstLine="539"/>
        <w:textAlignment w:val="top"/>
        <w:rPr>
          <w:rFonts w:ascii="宋体" w:hAnsi="宋体" w:eastAsia="宋体" w:cs="楷体_GB2312"/>
          <w:sz w:val="24"/>
          <w:lang w:val="zh-CN"/>
        </w:rPr>
      </w:pPr>
      <w:r>
        <w:rPr>
          <w:rFonts w:hint="eastAsia" w:ascii="宋体" w:hAnsi="宋体" w:eastAsia="宋体" w:cs="楷体_GB2312"/>
          <w:sz w:val="24"/>
          <w:lang w:val="zh-CN"/>
        </w:rPr>
        <w:t>3.5.2 未提供投标承诺函的为</w:t>
      </w:r>
      <w:r>
        <w:rPr>
          <w:rFonts w:hint="eastAsia" w:ascii="宋体" w:hAnsi="宋体" w:eastAsia="宋体" w:cs="楷体_GB2312"/>
          <w:b/>
          <w:bCs/>
          <w:sz w:val="24"/>
          <w:lang w:val="zh-CN"/>
        </w:rPr>
        <w:t>无效投标</w:t>
      </w:r>
      <w:r>
        <w:rPr>
          <w:rFonts w:hint="eastAsia" w:ascii="宋体" w:hAnsi="宋体" w:eastAsia="宋体" w:cs="楷体_GB2312"/>
          <w:sz w:val="24"/>
          <w:lang w:val="zh-CN"/>
        </w:rPr>
        <w:t>。</w:t>
      </w:r>
    </w:p>
    <w:p w14:paraId="5E05CA12">
      <w:pPr>
        <w:adjustRightInd w:val="0"/>
        <w:snapToGrid w:val="0"/>
        <w:spacing w:before="156" w:beforeLines="50" w:line="300" w:lineRule="auto"/>
        <w:ind w:firstLine="539"/>
        <w:textAlignment w:val="top"/>
        <w:rPr>
          <w:rFonts w:ascii="宋体" w:hAnsi="宋体" w:eastAsia="宋体" w:cs="楷体_GB2312"/>
          <w:sz w:val="24"/>
          <w:lang w:val="zh-CN"/>
        </w:rPr>
      </w:pPr>
      <w:r>
        <w:rPr>
          <w:rFonts w:hint="eastAsia" w:ascii="宋体" w:hAnsi="宋体" w:eastAsia="宋体" w:cs="楷体_GB2312"/>
          <w:sz w:val="24"/>
          <w:lang w:val="zh-CN"/>
        </w:rPr>
        <w:t>3.5.3 投标人的投标承诺函包含投标人承诺的事项及违背承诺的责任追究措施。</w:t>
      </w:r>
    </w:p>
    <w:p w14:paraId="4A900299">
      <w:pPr>
        <w:adjustRightInd w:val="0"/>
        <w:snapToGrid w:val="0"/>
        <w:spacing w:before="156" w:beforeLines="50" w:line="300" w:lineRule="auto"/>
        <w:ind w:firstLine="539"/>
        <w:textAlignment w:val="top"/>
        <w:rPr>
          <w:rFonts w:ascii="宋体" w:hAnsi="宋体" w:eastAsia="宋体" w:cs="楷体_GB2312"/>
          <w:sz w:val="24"/>
          <w:lang w:val="zh-CN"/>
        </w:rPr>
      </w:pPr>
      <w:r>
        <w:rPr>
          <w:rFonts w:hint="eastAsia" w:ascii="宋体" w:hAnsi="宋体" w:eastAsia="宋体" w:cs="楷体_GB2312"/>
          <w:sz w:val="24"/>
          <w:lang w:val="zh-CN"/>
        </w:rPr>
        <w:t>3.5.4 承诺事项：</w:t>
      </w:r>
    </w:p>
    <w:p w14:paraId="184BB9FB">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3.5.4.1</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投标人应遵循公开、公平、公正和</w:t>
      </w:r>
      <w:r>
        <w:rPr>
          <w:rFonts w:ascii="宋体" w:hAnsi="宋体" w:eastAsia="宋体" w:cs="楷体_GB2312"/>
          <w:sz w:val="24"/>
          <w:lang w:val="zh-CN"/>
        </w:rPr>
        <w:fldChar w:fldCharType="begin"/>
      </w:r>
      <w:r>
        <w:rPr>
          <w:rFonts w:ascii="宋体" w:hAnsi="宋体" w:eastAsia="宋体" w:cs="楷体_GB2312"/>
          <w:sz w:val="24"/>
          <w:lang w:val="zh-CN"/>
        </w:rPr>
        <w:instrText xml:space="preserve"> HYPERLINK "http://www.so.com/s?q=%E8%AF%9A%E5%AE%9E%E4%BF%A1%E7%94%A8&amp;ie=utf-8&amp;src=internal_wenda_recommend_textn" \t "https://wenda.so.com/q/_blank" </w:instrText>
      </w:r>
      <w:r>
        <w:rPr>
          <w:rFonts w:ascii="宋体" w:hAnsi="宋体" w:eastAsia="宋体" w:cs="楷体_GB2312"/>
          <w:sz w:val="24"/>
          <w:lang w:val="zh-CN"/>
        </w:rPr>
        <w:fldChar w:fldCharType="separate"/>
      </w:r>
      <w:r>
        <w:rPr>
          <w:rFonts w:hint="eastAsia" w:ascii="宋体" w:hAnsi="宋体" w:eastAsia="宋体" w:cs="楷体_GB2312"/>
          <w:sz w:val="24"/>
          <w:lang w:val="zh-CN"/>
        </w:rPr>
        <w:t>诚实信用</w:t>
      </w:r>
      <w:r>
        <w:rPr>
          <w:rFonts w:hint="eastAsia" w:ascii="宋体" w:hAnsi="宋体" w:eastAsia="宋体" w:cs="楷体_GB2312"/>
          <w:sz w:val="24"/>
          <w:lang w:val="zh-CN"/>
        </w:rPr>
        <w:fldChar w:fldCharType="end"/>
      </w:r>
      <w:r>
        <w:rPr>
          <w:rFonts w:hint="eastAsia" w:ascii="宋体" w:hAnsi="宋体" w:eastAsia="宋体" w:cs="楷体_GB2312"/>
          <w:sz w:val="24"/>
          <w:lang w:val="zh-CN"/>
        </w:rPr>
        <w:t>的原则自愿参加项目的投标；</w:t>
      </w:r>
    </w:p>
    <w:p w14:paraId="55A5791C">
      <w:pPr>
        <w:adjustRightInd w:val="0"/>
        <w:snapToGrid w:val="0"/>
        <w:spacing w:before="156" w:beforeLines="50" w:line="300" w:lineRule="auto"/>
        <w:ind w:firstLine="539"/>
        <w:textAlignment w:val="top"/>
        <w:rPr>
          <w:rFonts w:ascii="宋体" w:hAnsi="宋体" w:eastAsia="宋体" w:cs="楷体_GB2312"/>
          <w:sz w:val="24"/>
          <w:lang w:val="zh-CN"/>
        </w:rPr>
      </w:pPr>
      <w:r>
        <w:rPr>
          <w:rFonts w:hint="eastAsia" w:ascii="宋体" w:hAnsi="宋体" w:eastAsia="宋体" w:cs="楷体_GB2312"/>
          <w:sz w:val="24"/>
          <w:lang w:val="zh-CN"/>
        </w:rPr>
        <w:t>3.5.4.2</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投标人在政府采购活动中应提供真实、准确、有效、合法的材料，不提供虚假材料；</w:t>
      </w:r>
    </w:p>
    <w:p w14:paraId="0D1A09E2">
      <w:pPr>
        <w:adjustRightInd w:val="0"/>
        <w:snapToGrid w:val="0"/>
        <w:spacing w:before="156" w:beforeLines="50" w:line="300" w:lineRule="auto"/>
        <w:ind w:firstLine="539"/>
        <w:textAlignment w:val="top"/>
        <w:rPr>
          <w:rFonts w:ascii="宋体" w:hAnsi="宋体" w:eastAsia="宋体" w:cs="楷体_GB2312"/>
          <w:sz w:val="24"/>
          <w:lang w:val="zh-CN"/>
        </w:rPr>
      </w:pPr>
      <w:r>
        <w:rPr>
          <w:rFonts w:hint="eastAsia" w:ascii="宋体" w:hAnsi="宋体" w:eastAsia="宋体" w:cs="楷体_GB2312"/>
          <w:sz w:val="24"/>
          <w:lang w:val="zh-CN"/>
        </w:rPr>
        <w:t>3.5.4.3</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投标人按照</w:t>
      </w:r>
      <w:r>
        <w:rPr>
          <w:rFonts w:hint="eastAsia" w:ascii="宋体" w:hAnsi="宋体" w:eastAsia="宋体" w:cs="楷体_GB2312"/>
          <w:sz w:val="24"/>
          <w:lang w:val="zh-CN" w:eastAsia="zh-CN"/>
        </w:rPr>
        <w:t>《谈判文件》</w:t>
      </w:r>
      <w:r>
        <w:rPr>
          <w:rFonts w:hint="eastAsia" w:ascii="宋体" w:hAnsi="宋体" w:eastAsia="宋体" w:cs="楷体_GB2312"/>
          <w:sz w:val="24"/>
          <w:lang w:val="zh-CN"/>
        </w:rPr>
        <w:t>规定，在提交《响应文件》截止时间后，在</w:t>
      </w:r>
      <w:r>
        <w:rPr>
          <w:rFonts w:hint="eastAsia" w:ascii="宋体" w:hAnsi="宋体" w:eastAsia="宋体" w:cs="楷体_GB2312"/>
          <w:sz w:val="24"/>
          <w:lang w:val="zh-CN" w:eastAsia="zh-CN"/>
        </w:rPr>
        <w:t>《谈判文件》</w:t>
      </w:r>
      <w:r>
        <w:rPr>
          <w:rFonts w:hint="eastAsia" w:ascii="宋体" w:hAnsi="宋体" w:eastAsia="宋体" w:cs="楷体_GB2312"/>
          <w:sz w:val="24"/>
          <w:lang w:val="zh-CN"/>
        </w:rPr>
        <w:t>规定的投标有效期限内不应撤回《响应文件》；</w:t>
      </w:r>
    </w:p>
    <w:p w14:paraId="7FD3D9E2">
      <w:pPr>
        <w:adjustRightInd w:val="0"/>
        <w:snapToGrid w:val="0"/>
        <w:spacing w:before="156" w:beforeLines="50" w:line="300" w:lineRule="auto"/>
        <w:ind w:firstLine="539"/>
        <w:textAlignment w:val="top"/>
        <w:rPr>
          <w:rFonts w:ascii="宋体" w:hAnsi="宋体" w:eastAsia="宋体" w:cs="楷体_GB2312"/>
          <w:sz w:val="24"/>
          <w:lang w:val="zh-CN"/>
        </w:rPr>
      </w:pPr>
      <w:r>
        <w:rPr>
          <w:rFonts w:hint="eastAsia" w:ascii="宋体" w:hAnsi="宋体" w:eastAsia="宋体" w:cs="楷体_GB2312"/>
          <w:sz w:val="24"/>
          <w:lang w:val="zh-CN"/>
        </w:rPr>
        <w:t>3.5.4.4</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不应与其他投标人、采购人或采购代理机构串通或恶意串通；</w:t>
      </w:r>
    </w:p>
    <w:p w14:paraId="42BBEB6F">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3.5.4.5</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中标后除不可抗拒力或《谈判文件》认可的情形外，投标人应及时领取中标通知书，在成交通知书规定时间、地点与采购人签订合同；</w:t>
      </w:r>
    </w:p>
    <w:p w14:paraId="6FEA404C">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3.5.4.6</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投标人应遵守法律法规及</w:t>
      </w:r>
      <w:r>
        <w:rPr>
          <w:rFonts w:hint="eastAsia" w:ascii="宋体" w:hAnsi="宋体" w:eastAsia="宋体" w:cs="楷体_GB2312"/>
          <w:sz w:val="24"/>
          <w:lang w:val="zh-CN" w:eastAsia="zh-CN"/>
        </w:rPr>
        <w:t>《谈判文件》</w:t>
      </w:r>
      <w:r>
        <w:rPr>
          <w:rFonts w:hint="eastAsia" w:ascii="宋体" w:hAnsi="宋体" w:eastAsia="宋体" w:cs="楷体_GB2312"/>
          <w:sz w:val="24"/>
          <w:lang w:val="zh-CN"/>
        </w:rPr>
        <w:t>规定的其他情况；</w:t>
      </w:r>
    </w:p>
    <w:p w14:paraId="0463BC37">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3.5.4.7</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投标人应按</w:t>
      </w:r>
      <w:r>
        <w:rPr>
          <w:rFonts w:hint="eastAsia" w:ascii="宋体" w:hAnsi="宋体" w:eastAsia="宋体" w:cs="楷体_GB2312"/>
          <w:sz w:val="24"/>
          <w:lang w:val="zh-CN" w:eastAsia="zh-CN"/>
        </w:rPr>
        <w:t>《谈判文件》</w:t>
      </w:r>
      <w:r>
        <w:rPr>
          <w:rFonts w:hint="eastAsia" w:ascii="宋体" w:hAnsi="宋体" w:eastAsia="宋体" w:cs="楷体_GB2312"/>
          <w:sz w:val="24"/>
          <w:lang w:val="zh-CN"/>
        </w:rPr>
        <w:t>规定及时缴纳中标服务费。</w:t>
      </w:r>
    </w:p>
    <w:p w14:paraId="4E569A9E">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3.5.5 违背承诺的责任追究措施：</w:t>
      </w:r>
    </w:p>
    <w:p w14:paraId="6C879A25">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投标人如违背上述承诺事项，应无条件接受以下责任追究：</w:t>
      </w:r>
    </w:p>
    <w:p w14:paraId="12755B5E">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3.5.5.1</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w:t>
      </w:r>
    </w:p>
    <w:p w14:paraId="6A7FB5EE">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给采购人及他人造成损失的，应承担相应的赔偿责任。</w:t>
      </w:r>
    </w:p>
    <w:p w14:paraId="6C4325D4">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3.5.5.2</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 xml:space="preserve">违约责任： </w:t>
      </w:r>
    </w:p>
    <w:p w14:paraId="65B8872C">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3.5.5.2.1 已中标的，中标（成交）无效；</w:t>
      </w:r>
    </w:p>
    <w:p w14:paraId="75C0ABDE">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3.5.5.2.2 支付采购人违约标的预算金额2%的违约金；</w:t>
      </w:r>
    </w:p>
    <w:p w14:paraId="48B73500">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3.5.5.2.3</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中标后未缴中标服务费的，作为违约及违背</w:t>
      </w:r>
      <w:r>
        <w:rPr>
          <w:rFonts w:hint="eastAsia" w:ascii="宋体" w:hAnsi="宋体" w:eastAsia="宋体" w:cs="楷体_GB2312"/>
          <w:sz w:val="24"/>
          <w:lang w:val="zh-CN"/>
        </w:rPr>
        <w:fldChar w:fldCharType="begin"/>
      </w:r>
      <w:r>
        <w:rPr>
          <w:rFonts w:hint="eastAsia" w:ascii="宋体" w:hAnsi="宋体" w:eastAsia="宋体" w:cs="楷体_GB2312"/>
          <w:sz w:val="24"/>
          <w:lang w:val="zh-CN"/>
        </w:rPr>
        <w:instrText xml:space="preserve"> HYPERLINK "http://www.so.com/s?q=%E8%AF%9A%E5%AE%9E%E4%BF%A1%E7%94%A8&amp;ie=utf-8&amp;src=internal_wenda_recommend_textn" \t "https://wenda.so.com/q/_blank" </w:instrText>
      </w:r>
      <w:r>
        <w:rPr>
          <w:rFonts w:hint="eastAsia" w:ascii="宋体" w:hAnsi="宋体" w:eastAsia="宋体" w:cs="楷体_GB2312"/>
          <w:sz w:val="24"/>
          <w:lang w:val="zh-CN"/>
        </w:rPr>
        <w:fldChar w:fldCharType="separate"/>
      </w:r>
      <w:r>
        <w:rPr>
          <w:rFonts w:hint="eastAsia" w:ascii="宋体" w:hAnsi="宋体" w:eastAsia="宋体" w:cs="楷体_GB2312"/>
          <w:sz w:val="24"/>
          <w:lang w:val="zh-CN"/>
        </w:rPr>
        <w:t>诚实信用</w:t>
      </w:r>
      <w:r>
        <w:rPr>
          <w:rFonts w:hint="eastAsia" w:ascii="宋体" w:hAnsi="宋体" w:eastAsia="宋体" w:cs="楷体_GB2312"/>
          <w:sz w:val="24"/>
          <w:lang w:val="zh-CN"/>
        </w:rPr>
        <w:fldChar w:fldCharType="end"/>
      </w:r>
      <w:r>
        <w:rPr>
          <w:rFonts w:hint="eastAsia" w:ascii="宋体" w:hAnsi="宋体" w:eastAsia="宋体" w:cs="楷体_GB2312"/>
          <w:sz w:val="24"/>
          <w:lang w:val="zh-CN"/>
        </w:rPr>
        <w:t>原则，在履行承诺前，代理机构将视该单位为失信企业、不予办理其后相关业务。</w:t>
      </w:r>
    </w:p>
    <w:p w14:paraId="3D24CEA2">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要求见谈判公告。</w:t>
      </w:r>
    </w:p>
    <w:p w14:paraId="66578F91">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en-US" w:eastAsia="zh-CN"/>
        </w:rPr>
        <w:t xml:space="preserve"> </w:t>
      </w:r>
      <w:r>
        <w:rPr>
          <w:rFonts w:hint="eastAsia" w:ascii="黑体" w:hAnsi="黑体" w:eastAsia="黑体" w:cs="楷体_GB2312"/>
          <w:b/>
          <w:color w:val="auto"/>
          <w:sz w:val="24"/>
          <w:lang w:val="zh-CN"/>
        </w:rPr>
        <w:t>《响应文件》的编制</w:t>
      </w:r>
    </w:p>
    <w:p w14:paraId="2854A6B0">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3.7.1《响应文件》应按第六章“《响应文件》格式”进行编写，如有必要，可以增加附页，作为《响应文件》的组成部分。《谈判文件》中未列明格式的，由投标人按一般通用格式自行设计编写。</w:t>
      </w:r>
    </w:p>
    <w:p w14:paraId="5E9DF966">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《响应文件》编制后，投标人应在投标截止时间前上传加密的电子</w:t>
      </w:r>
      <w:r>
        <w:rPr>
          <w:rFonts w:hint="eastAsia" w:ascii="宋体" w:hAnsi="宋体" w:eastAsia="宋体" w:cs="楷体_GB2312"/>
          <w:sz w:val="24"/>
          <w:lang w:val="zh-CN" w:eastAsia="zh-CN"/>
        </w:rPr>
        <w:t>《响应文件》</w:t>
      </w:r>
      <w:r>
        <w:rPr>
          <w:rFonts w:hint="eastAsia" w:ascii="宋体" w:hAnsi="宋体" w:eastAsia="宋体" w:cs="楷体_GB2312"/>
          <w:sz w:val="24"/>
          <w:lang w:val="zh-CN"/>
        </w:rPr>
        <w:t>（*.aytf）到殷都区公共资源交易平台。上传时投标人须使用制作该</w:t>
      </w:r>
      <w:r>
        <w:rPr>
          <w:rFonts w:hint="eastAsia" w:ascii="宋体" w:hAnsi="宋体" w:eastAsia="宋体" w:cs="楷体_GB2312"/>
          <w:sz w:val="24"/>
          <w:lang w:val="zh-CN" w:eastAsia="zh-CN"/>
        </w:rPr>
        <w:t>《响应文件》</w:t>
      </w:r>
      <w:r>
        <w:rPr>
          <w:rFonts w:hint="eastAsia" w:ascii="宋体" w:hAnsi="宋体" w:eastAsia="宋体" w:cs="楷体_GB2312"/>
          <w:sz w:val="24"/>
          <w:lang w:val="zh-CN"/>
        </w:rPr>
        <w:t>的同一CA锁进行上传操作。请投标人在上传时认真检查上传</w:t>
      </w:r>
      <w:r>
        <w:rPr>
          <w:rFonts w:hint="eastAsia" w:ascii="宋体" w:hAnsi="宋体" w:eastAsia="宋体" w:cs="楷体_GB2312"/>
          <w:sz w:val="24"/>
          <w:lang w:val="zh-CN" w:eastAsia="zh-CN"/>
        </w:rPr>
        <w:t>《响应文件》</w:t>
      </w:r>
      <w:r>
        <w:rPr>
          <w:rFonts w:hint="eastAsia" w:ascii="宋体" w:hAnsi="宋体" w:eastAsia="宋体" w:cs="楷体_GB2312"/>
          <w:sz w:val="24"/>
          <w:lang w:val="zh-CN"/>
        </w:rPr>
        <w:t>是否完整、正确。投标人应充分考虑上传文件时的不可预见因素，未在投标截止时间前完成上传的，视为逾期送达，殷都区公共资源交易平台将拒绝接收。</w:t>
      </w:r>
    </w:p>
    <w:p w14:paraId="184D6FE9">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3.7.2 “《响应文件》格式”仅为对《响应文件》部分内容的格式化规范，并非《响应文件》所应具备的全部内容。投标人应按本章“3.2</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《响应文件》的组成”列示内容编制《响应文件》。</w:t>
      </w:r>
    </w:p>
    <w:p w14:paraId="3262DC2D">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3.7.3</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《响应文件》应当对《谈判文件》有关标段（包）内容（范围）、</w:t>
      </w:r>
      <w:r>
        <w:rPr>
          <w:rFonts w:hint="eastAsia" w:ascii="宋体" w:hAnsi="宋体" w:eastAsia="宋体" w:cs="楷体_GB2312"/>
          <w:sz w:val="24"/>
          <w:lang w:val="en-US" w:eastAsia="zh-CN"/>
        </w:rPr>
        <w:t>服务</w:t>
      </w:r>
      <w:r>
        <w:rPr>
          <w:rFonts w:hint="eastAsia" w:ascii="宋体" w:hAnsi="宋体" w:eastAsia="宋体" w:cs="楷体_GB2312"/>
          <w:sz w:val="24"/>
          <w:lang w:val="zh-CN"/>
        </w:rPr>
        <w:t>要求、服务期、投标有效期等实质性内容作出响应。在满足《谈判文件》实质性要求的基础上，可以提出比《谈判文件》要求更有利于采购人的承诺。并符合《谈判文件》偏差规定。</w:t>
      </w:r>
    </w:p>
    <w:p w14:paraId="6C5C325E">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响应文件》的所有条款与《谈判文件》要求有任何不同之处，应按《偏差表》格式逐一填列。《响应文件》与《谈判文件》所有要求存在偏差而未填列的，谈判小组有权按照实质性判断原则（实质性要求和实质性响应两因素）评定其为</w:t>
      </w:r>
      <w:r>
        <w:rPr>
          <w:rFonts w:hint="eastAsia" w:ascii="宋体" w:hAnsi="宋体" w:eastAsia="宋体" w:cs="楷体_GB2312"/>
          <w:b/>
          <w:bCs/>
          <w:sz w:val="24"/>
          <w:lang w:val="zh-CN"/>
        </w:rPr>
        <w:t>无效投标</w:t>
      </w:r>
      <w:r>
        <w:rPr>
          <w:rFonts w:hint="eastAsia" w:ascii="宋体" w:hAnsi="宋体" w:eastAsia="宋体" w:cs="楷体_GB2312"/>
          <w:sz w:val="24"/>
          <w:lang w:val="zh-CN"/>
        </w:rPr>
        <w:t>。投标人应认真编制《响应文件》并自负此项风险。</w:t>
      </w:r>
    </w:p>
    <w:p w14:paraId="736B7F3E">
      <w:pPr>
        <w:adjustRightInd w:val="0"/>
        <w:snapToGrid w:val="0"/>
        <w:spacing w:before="156" w:beforeLines="50" w:line="300" w:lineRule="auto"/>
        <w:ind w:firstLine="539"/>
        <w:textAlignment w:val="top"/>
        <w:rPr>
          <w:rFonts w:hint="eastAsia" w:ascii="宋体" w:hAnsi="宋体" w:eastAsia="宋体" w:cs="楷体_GB2312"/>
          <w:b/>
          <w:bCs/>
          <w:sz w:val="24"/>
          <w:lang w:val="zh-CN"/>
        </w:rPr>
      </w:pPr>
      <w:r>
        <w:rPr>
          <w:rFonts w:hint="eastAsia" w:ascii="宋体" w:hAnsi="宋体" w:eastAsia="宋体" w:cs="楷体_GB2312"/>
          <w:b/>
          <w:bCs/>
          <w:sz w:val="24"/>
          <w:lang w:val="zh-CN"/>
        </w:rPr>
        <w:t>3.7.4 《响应文件》应按《谈判文件》相关要求（含格式上标注的要求）、使用供应商企业数字证书进行电子签章和供应商法定代表人数字证书进行电子签名（签章）、并加密，没有使用供应商企业数字证书和供应商法定代表人数字证书进行电子签名（签章）并加密的</w:t>
      </w:r>
      <w:r>
        <w:rPr>
          <w:rFonts w:hint="eastAsia" w:ascii="宋体" w:hAnsi="宋体" w:eastAsia="宋体" w:cs="楷体_GB2312"/>
          <w:b/>
          <w:bCs/>
          <w:sz w:val="24"/>
          <w:lang w:val="zh-CN" w:eastAsia="zh-CN"/>
        </w:rPr>
        <w:t>《响应文件》</w:t>
      </w:r>
      <w:r>
        <w:rPr>
          <w:rFonts w:hint="eastAsia" w:ascii="宋体" w:hAnsi="宋体" w:eastAsia="宋体" w:cs="楷体_GB2312"/>
          <w:b/>
          <w:bCs/>
          <w:sz w:val="24"/>
          <w:lang w:val="zh-CN"/>
        </w:rPr>
        <w:t>，属于未按照</w:t>
      </w:r>
      <w:r>
        <w:rPr>
          <w:rFonts w:hint="eastAsia" w:ascii="宋体" w:hAnsi="宋体" w:eastAsia="宋体" w:cs="楷体_GB2312"/>
          <w:b/>
          <w:bCs/>
          <w:sz w:val="24"/>
          <w:lang w:val="zh-CN" w:eastAsia="zh-CN"/>
        </w:rPr>
        <w:t>《谈判文件》</w:t>
      </w:r>
      <w:r>
        <w:rPr>
          <w:rFonts w:hint="eastAsia" w:ascii="宋体" w:hAnsi="宋体" w:eastAsia="宋体" w:cs="楷体_GB2312"/>
          <w:b/>
          <w:bCs/>
          <w:sz w:val="24"/>
          <w:lang w:val="zh-CN"/>
        </w:rPr>
        <w:t>要求进行签署。</w:t>
      </w:r>
    </w:p>
    <w:p w14:paraId="5E4B5D6A">
      <w:pPr>
        <w:adjustRightInd w:val="0"/>
        <w:snapToGrid w:val="0"/>
        <w:spacing w:before="156" w:beforeLines="50" w:line="300" w:lineRule="auto"/>
        <w:ind w:firstLine="539"/>
        <w:textAlignment w:val="top"/>
        <w:rPr>
          <w:rFonts w:hint="eastAsia" w:ascii="宋体" w:hAnsi="宋体" w:eastAsia="宋体" w:cs="楷体_GB2312"/>
          <w:b/>
          <w:bCs/>
          <w:sz w:val="24"/>
          <w:lang w:val="zh-CN"/>
        </w:rPr>
      </w:pPr>
      <w:r>
        <w:rPr>
          <w:rFonts w:hint="eastAsia" w:ascii="宋体" w:hAnsi="宋体" w:eastAsia="宋体" w:cs="楷体_GB2312"/>
          <w:b/>
          <w:bCs/>
          <w:sz w:val="24"/>
          <w:lang w:val="zh-CN"/>
        </w:rPr>
        <w:t>根据《中华人民共和国电子签名法》规定，可靠的电子签名与手写签名或者盖章具有同等的法律效力。本次采购活动中，供应商使用有效的企业数字证书对</w:t>
      </w:r>
      <w:r>
        <w:rPr>
          <w:rFonts w:hint="eastAsia" w:ascii="宋体" w:hAnsi="宋体" w:eastAsia="宋体" w:cs="楷体_GB2312"/>
          <w:b/>
          <w:bCs/>
          <w:sz w:val="24"/>
          <w:lang w:val="zh-CN" w:eastAsia="zh-CN"/>
        </w:rPr>
        <w:t>《响应文件》</w:t>
      </w:r>
      <w:r>
        <w:rPr>
          <w:rFonts w:hint="eastAsia" w:ascii="宋体" w:hAnsi="宋体" w:eastAsia="宋体" w:cs="楷体_GB2312"/>
          <w:b/>
          <w:bCs/>
          <w:sz w:val="24"/>
          <w:lang w:val="zh-CN"/>
        </w:rPr>
        <w:t>进行电子签章与加盖投标人公章具有同等法律效力；供应商法定代表人使用有效的个人数字证书对</w:t>
      </w:r>
      <w:r>
        <w:rPr>
          <w:rFonts w:hint="eastAsia" w:ascii="宋体" w:hAnsi="宋体" w:eastAsia="宋体" w:cs="楷体_GB2312"/>
          <w:b/>
          <w:bCs/>
          <w:sz w:val="24"/>
          <w:lang w:val="zh-CN" w:eastAsia="zh-CN"/>
        </w:rPr>
        <w:t>《响应文件》</w:t>
      </w:r>
      <w:r>
        <w:rPr>
          <w:rFonts w:hint="eastAsia" w:ascii="宋体" w:hAnsi="宋体" w:eastAsia="宋体" w:cs="楷体_GB2312"/>
          <w:b/>
          <w:bCs/>
          <w:sz w:val="24"/>
          <w:lang w:val="zh-CN"/>
        </w:rPr>
        <w:t>进行签名（签章）与法人签章具有同等法律效力。</w:t>
      </w:r>
    </w:p>
    <w:p w14:paraId="7B980B63">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3.7.5</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投标人可对本《谈判文件》“标段（包）一览表”中所列的所有标段（包）进行分别投标，也可选择其中一个标段（包）或几个标段（包）投标，但不得将《谈判文件》规定的同一标段（包）的内容拆开投标，否则将按</w:t>
      </w:r>
      <w:r>
        <w:rPr>
          <w:rFonts w:hint="eastAsia" w:ascii="宋体" w:hAnsi="宋体" w:eastAsia="宋体" w:cs="楷体_GB2312"/>
          <w:b/>
          <w:bCs/>
          <w:sz w:val="24"/>
          <w:lang w:val="zh-CN"/>
        </w:rPr>
        <w:t>无效投标</w:t>
      </w:r>
      <w:r>
        <w:rPr>
          <w:rFonts w:hint="eastAsia" w:ascii="宋体" w:hAnsi="宋体" w:eastAsia="宋体" w:cs="楷体_GB2312"/>
          <w:sz w:val="24"/>
          <w:lang w:val="zh-CN"/>
        </w:rPr>
        <w:t>处理。</w:t>
      </w:r>
    </w:p>
    <w:p w14:paraId="7BA54C7D">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3.7.6 《响应文件》因字迹或表述不清所引起的后果由投标人自行负责。</w:t>
      </w:r>
    </w:p>
    <w:p w14:paraId="01F6EFC6">
      <w:pPr>
        <w:adjustRightInd w:val="0"/>
        <w:snapToGrid w:val="0"/>
        <w:spacing w:before="156" w:beforeLines="50" w:line="300" w:lineRule="auto"/>
        <w:ind w:firstLine="539"/>
        <w:textAlignment w:val="top"/>
        <w:rPr>
          <w:rFonts w:hint="eastAsia" w:ascii="宋体" w:hAnsi="宋体" w:eastAsia="宋体" w:cs="楷体_GB2312"/>
          <w:sz w:val="24"/>
          <w:lang w:val="zh-CN"/>
        </w:rPr>
      </w:pPr>
      <w:r>
        <w:rPr>
          <w:rFonts w:hint="eastAsia" w:ascii="宋体" w:hAnsi="宋体" w:eastAsia="宋体" w:cs="楷体_GB2312"/>
          <w:sz w:val="24"/>
          <w:lang w:val="zh-CN"/>
        </w:rPr>
        <w:t>3.7.7 未按上述要求提供的《响应文件》将视为</w:t>
      </w:r>
      <w:r>
        <w:rPr>
          <w:rFonts w:hint="eastAsia" w:ascii="宋体" w:hAnsi="宋体" w:eastAsia="宋体" w:cs="楷体_GB2312"/>
          <w:b/>
          <w:bCs/>
          <w:sz w:val="24"/>
          <w:lang w:val="zh-CN"/>
        </w:rPr>
        <w:t>无效投标</w:t>
      </w:r>
      <w:r>
        <w:rPr>
          <w:rFonts w:hint="eastAsia" w:ascii="宋体" w:hAnsi="宋体" w:eastAsia="宋体" w:cs="楷体_GB2312"/>
          <w:sz w:val="24"/>
          <w:lang w:val="zh-CN"/>
        </w:rPr>
        <w:t>。</w:t>
      </w:r>
    </w:p>
    <w:p w14:paraId="396BFF62">
      <w:pPr>
        <w:autoSpaceDE w:val="0"/>
        <w:autoSpaceDN w:val="0"/>
        <w:adjustRightInd w:val="0"/>
        <w:spacing w:line="360" w:lineRule="auto"/>
        <w:ind w:firstLine="539"/>
        <w:rPr>
          <w:rFonts w:ascii="黑体" w:hAnsi="黑体" w:eastAsia="黑体" w:cs="楷体_GB2312"/>
          <w:b/>
          <w:bCs/>
          <w:color w:val="auto"/>
          <w:sz w:val="28"/>
          <w:szCs w:val="28"/>
          <w:lang w:val="zh-CN"/>
        </w:rPr>
      </w:pPr>
    </w:p>
    <w:p w14:paraId="7C177BB1">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9" w:name="_Toc21526"/>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投标（《响应文件》的递交）</w:t>
      </w:r>
      <w:bookmarkEnd w:id="29"/>
    </w:p>
    <w:p w14:paraId="03ABB1E8">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 xml:space="preserve">4.1 </w:t>
      </w:r>
      <w:r>
        <w:rPr>
          <w:rFonts w:hint="eastAsia" w:ascii="黑体" w:hAnsi="黑体" w:eastAsia="黑体" w:cs="楷体_GB2312"/>
          <w:b/>
          <w:sz w:val="24"/>
          <w:lang w:val="zh-CN"/>
        </w:rPr>
        <w:t>《响应文件》的加</w:t>
      </w:r>
      <w:r>
        <w:rPr>
          <w:rFonts w:ascii="黑体" w:hAnsi="黑体" w:eastAsia="黑体" w:cs="楷体_GB2312"/>
          <w:b/>
          <w:sz w:val="24"/>
          <w:lang w:val="zh-CN"/>
        </w:rPr>
        <w:t>密</w:t>
      </w:r>
      <w:r>
        <w:rPr>
          <w:rFonts w:hint="eastAsia" w:ascii="黑体" w:hAnsi="黑体" w:eastAsia="黑体" w:cs="楷体_GB2312"/>
          <w:b/>
          <w:sz w:val="24"/>
          <w:lang w:val="zh-CN"/>
        </w:rPr>
        <w:t>和标记</w:t>
      </w:r>
    </w:p>
    <w:p w14:paraId="2E9F0BA8">
      <w:pPr>
        <w:autoSpaceDE w:val="0"/>
        <w:autoSpaceDN w:val="0"/>
        <w:adjustRightInd w:val="0"/>
        <w:snapToGrid w:val="0"/>
        <w:spacing w:before="156" w:beforeLines="50" w:line="300" w:lineRule="auto"/>
        <w:ind w:firstLine="539"/>
        <w:rPr>
          <w:rFonts w:ascii="宋体" w:cs="楷体_GB2312"/>
          <w:b/>
          <w:color w:val="auto"/>
          <w:sz w:val="24"/>
          <w:lang w:val="zh-CN"/>
        </w:rPr>
      </w:pPr>
      <w:bookmarkStart w:id="30" w:name="OLE_LINK2"/>
      <w:r>
        <w:rPr>
          <w:rFonts w:ascii="宋体" w:hAnsi="宋体" w:cs="楷体_GB2312"/>
          <w:b/>
          <w:color w:val="auto"/>
          <w:sz w:val="24"/>
          <w:lang w:val="zh-CN"/>
        </w:rPr>
        <w:t xml:space="preserve">4.1.1 </w:t>
      </w:r>
      <w:r>
        <w:rPr>
          <w:rFonts w:hint="eastAsia" w:ascii="宋体" w:hAnsi="宋体" w:cs="楷体_GB2312"/>
          <w:b/>
          <w:color w:val="auto"/>
          <w:sz w:val="24"/>
          <w:lang w:val="zh-CN"/>
        </w:rPr>
        <w:t>《响应文件》应</w:t>
      </w:r>
      <w:r>
        <w:rPr>
          <w:rFonts w:ascii="宋体" w:hAnsi="宋体" w:cs="楷体_GB2312"/>
          <w:b/>
          <w:color w:val="auto"/>
          <w:sz w:val="24"/>
          <w:lang w:val="zh-CN"/>
        </w:rPr>
        <w:t>当</w:t>
      </w:r>
      <w:r>
        <w:rPr>
          <w:rFonts w:hint="eastAsia" w:ascii="宋体" w:hAnsi="宋体" w:cs="楷体_GB2312"/>
          <w:b/>
          <w:color w:val="auto"/>
          <w:sz w:val="24"/>
          <w:lang w:val="zh-CN"/>
        </w:rPr>
        <w:t>按网上电子交易系统要</w:t>
      </w:r>
      <w:r>
        <w:rPr>
          <w:rFonts w:ascii="宋体" w:hAnsi="宋体" w:cs="楷体_GB2312"/>
          <w:b/>
          <w:color w:val="auto"/>
          <w:sz w:val="24"/>
          <w:lang w:val="zh-CN"/>
        </w:rPr>
        <w:t>求</w:t>
      </w:r>
      <w:r>
        <w:rPr>
          <w:rFonts w:hint="eastAsia" w:ascii="宋体" w:hAnsi="宋体" w:cs="楷体_GB2312"/>
          <w:b/>
          <w:color w:val="auto"/>
          <w:sz w:val="24"/>
          <w:lang w:val="zh-CN"/>
        </w:rPr>
        <w:t>进行</w:t>
      </w:r>
      <w:r>
        <w:rPr>
          <w:rFonts w:ascii="宋体" w:hAnsi="宋体" w:cs="楷体_GB2312"/>
          <w:b/>
          <w:color w:val="auto"/>
          <w:sz w:val="24"/>
          <w:lang w:val="zh-CN"/>
        </w:rPr>
        <w:t>加密</w:t>
      </w:r>
      <w:r>
        <w:rPr>
          <w:rFonts w:hint="eastAsia" w:ascii="宋体" w:hAnsi="宋体" w:cs="楷体_GB2312"/>
          <w:b/>
          <w:color w:val="auto"/>
          <w:sz w:val="24"/>
          <w:lang w:val="zh-CN"/>
        </w:rPr>
        <w:t>和标记，</w:t>
      </w:r>
      <w:r>
        <w:rPr>
          <w:rFonts w:ascii="宋体" w:hAnsi="宋体" w:cs="楷体_GB2312"/>
          <w:b/>
          <w:color w:val="auto"/>
          <w:sz w:val="24"/>
          <w:lang w:val="zh-CN"/>
        </w:rPr>
        <w:t>在</w:t>
      </w:r>
      <w:r>
        <w:rPr>
          <w:rFonts w:hint="eastAsia" w:ascii="宋体" w:hAnsi="宋体" w:cs="楷体_GB2312"/>
          <w:b/>
          <w:color w:val="auto"/>
          <w:sz w:val="24"/>
          <w:lang w:val="zh-CN"/>
        </w:rPr>
        <w:t>《响应文件》提</w:t>
      </w:r>
      <w:r>
        <w:rPr>
          <w:rFonts w:ascii="宋体" w:hAnsi="宋体" w:cs="楷体_GB2312"/>
          <w:b/>
          <w:color w:val="auto"/>
          <w:sz w:val="24"/>
          <w:lang w:val="zh-CN"/>
        </w:rPr>
        <w:t>交</w:t>
      </w:r>
      <w:r>
        <w:rPr>
          <w:rFonts w:hint="eastAsia" w:ascii="宋体" w:hAnsi="宋体" w:cs="楷体_GB2312"/>
          <w:b/>
          <w:color w:val="auto"/>
          <w:sz w:val="24"/>
          <w:lang w:val="zh-CN"/>
        </w:rPr>
        <w:t>截止时间前，将</w:t>
      </w:r>
      <w:r>
        <w:rPr>
          <w:rFonts w:ascii="宋体" w:hAnsi="宋体" w:cs="楷体_GB2312"/>
          <w:b/>
          <w:color w:val="auto"/>
          <w:sz w:val="24"/>
          <w:lang w:val="zh-CN"/>
        </w:rPr>
        <w:t>加密的</w:t>
      </w:r>
      <w:r>
        <w:rPr>
          <w:rFonts w:hint="eastAsia" w:ascii="宋体" w:hAnsi="宋体" w:cs="楷体_GB2312"/>
          <w:b/>
          <w:color w:val="auto"/>
          <w:sz w:val="24"/>
          <w:lang w:val="zh-CN"/>
        </w:rPr>
        <w:t>《响应文件》</w:t>
      </w:r>
      <w:r>
        <w:rPr>
          <w:rFonts w:ascii="宋体" w:hAnsi="宋体" w:cs="楷体_GB2312"/>
          <w:b/>
          <w:color w:val="auto"/>
          <w:sz w:val="24"/>
          <w:lang w:val="zh-CN"/>
        </w:rPr>
        <w:t>上</w:t>
      </w:r>
      <w:r>
        <w:rPr>
          <w:rFonts w:hint="eastAsia" w:ascii="宋体" w:hAnsi="宋体" w:cs="楷体_GB2312"/>
          <w:b/>
          <w:color w:val="auto"/>
          <w:sz w:val="24"/>
          <w:lang w:val="zh-CN"/>
        </w:rPr>
        <w:t>传至谈判公告所述网上电子交易系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14:paraId="33B07395">
      <w:pPr>
        <w:autoSpaceDE w:val="0"/>
        <w:autoSpaceDN w:val="0"/>
        <w:adjustRightInd w:val="0"/>
        <w:snapToGrid w:val="0"/>
        <w:spacing w:before="156" w:beforeLines="50" w:line="300" w:lineRule="auto"/>
        <w:ind w:firstLine="539"/>
        <w:rPr>
          <w:rFonts w:ascii="宋体" w:cs="楷体_GB2312"/>
          <w:b/>
          <w:color w:val="auto"/>
          <w:sz w:val="24"/>
          <w:lang w:val="zh-CN"/>
        </w:rPr>
      </w:pPr>
      <w:bookmarkStart w:id="31" w:name="OLE_LINK1"/>
      <w:r>
        <w:rPr>
          <w:rFonts w:ascii="宋体" w:hAnsi="宋体" w:cs="楷体_GB2312"/>
          <w:b/>
          <w:color w:val="auto"/>
          <w:sz w:val="24"/>
          <w:lang w:val="zh-CN"/>
        </w:rPr>
        <w:t xml:space="preserve">4.1.2 </w:t>
      </w:r>
      <w:r>
        <w:rPr>
          <w:rFonts w:hint="eastAsia" w:ascii="宋体" w:hAnsi="宋体" w:cs="楷体_GB2312"/>
          <w:b/>
          <w:color w:val="auto"/>
          <w:sz w:val="24"/>
          <w:lang w:val="zh-CN"/>
        </w:rPr>
        <w:t>《响应文件》没有按照上述要求进行</w:t>
      </w:r>
      <w:r>
        <w:rPr>
          <w:rFonts w:ascii="宋体" w:hAnsi="宋体" w:cs="楷体_GB2312"/>
          <w:b/>
          <w:color w:val="auto"/>
          <w:sz w:val="24"/>
          <w:lang w:val="zh-CN"/>
        </w:rPr>
        <w:t>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w:t>
      </w:r>
      <w:r>
        <w:rPr>
          <w:rFonts w:ascii="宋体" w:hAnsi="宋体" w:cs="楷体_GB2312"/>
          <w:b/>
          <w:color w:val="auto"/>
          <w:sz w:val="24"/>
          <w:lang w:val="zh-CN"/>
        </w:rPr>
        <w:t>统</w:t>
      </w:r>
      <w:r>
        <w:rPr>
          <w:rFonts w:hint="eastAsia" w:ascii="宋体" w:hAnsi="宋体" w:cs="楷体_GB2312"/>
          <w:b/>
          <w:color w:val="auto"/>
          <w:sz w:val="24"/>
          <w:lang w:val="zh-CN"/>
        </w:rPr>
        <w:t>将</w:t>
      </w:r>
      <w:r>
        <w:rPr>
          <w:rFonts w:ascii="宋体" w:hAnsi="宋体" w:cs="楷体_GB2312"/>
          <w:b/>
          <w:color w:val="auto"/>
          <w:sz w:val="24"/>
          <w:lang w:val="zh-CN"/>
        </w:rPr>
        <w:t>据系统设定</w:t>
      </w:r>
      <w:r>
        <w:rPr>
          <w:rFonts w:hint="eastAsia" w:ascii="宋体" w:hAnsi="宋体" w:cs="楷体_GB2312"/>
          <w:b/>
          <w:color w:val="auto"/>
          <w:sz w:val="24"/>
          <w:lang w:val="zh-CN"/>
        </w:rPr>
        <w:t>拒收其《响应文件》，投标人应自负该项风险，采购代理机构对可能产</w:t>
      </w:r>
      <w:r>
        <w:rPr>
          <w:rFonts w:ascii="宋体" w:hAnsi="宋体" w:cs="楷体_GB2312"/>
          <w:b/>
          <w:color w:val="auto"/>
          <w:sz w:val="24"/>
          <w:lang w:val="zh-CN"/>
        </w:rPr>
        <w:t>生的</w:t>
      </w:r>
      <w:r>
        <w:rPr>
          <w:rFonts w:hint="eastAsia" w:ascii="宋体" w:hAnsi="宋体" w:cs="楷体_GB2312"/>
          <w:b/>
          <w:color w:val="auto"/>
          <w:sz w:val="24"/>
          <w:lang w:val="zh-CN"/>
        </w:rPr>
        <w:t>误投或提前启封概不负责。</w:t>
      </w:r>
      <w:bookmarkEnd w:id="30"/>
      <w:bookmarkEnd w:id="31"/>
      <w:bookmarkStart w:id="32" w:name="_Toc296602445"/>
    </w:p>
    <w:p w14:paraId="0FDA86FD">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 xml:space="preserve">4.2 </w:t>
      </w:r>
      <w:r>
        <w:rPr>
          <w:rFonts w:hint="eastAsia" w:ascii="黑体" w:hAnsi="黑体" w:eastAsia="黑体" w:cs="楷体_GB2312"/>
          <w:b/>
          <w:sz w:val="24"/>
          <w:lang w:val="zh-CN"/>
        </w:rPr>
        <w:t>《响应文件》的递交</w:t>
      </w:r>
      <w:bookmarkEnd w:id="32"/>
    </w:p>
    <w:p w14:paraId="7310818D">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4.2.1</w:t>
      </w:r>
      <w:r>
        <w:rPr>
          <w:rFonts w:hint="eastAsia" w:ascii="宋体" w:hAnsi="宋体" w:cs="楷体_GB2312"/>
          <w:b/>
          <w:color w:val="auto"/>
          <w:sz w:val="24"/>
          <w:lang w:val="en-US" w:eastAsia="zh-CN"/>
        </w:rPr>
        <w:t xml:space="preserve"> </w:t>
      </w:r>
      <w:r>
        <w:rPr>
          <w:rFonts w:hint="eastAsia" w:ascii="宋体" w:hAnsi="宋体"/>
          <w:color w:val="auto"/>
          <w:sz w:val="24"/>
          <w:szCs w:val="24"/>
        </w:rPr>
        <w:t>投标人应在投标截止时间前上传加密的电子</w:t>
      </w:r>
      <w:r>
        <w:rPr>
          <w:rFonts w:hint="eastAsia" w:ascii="宋体" w:hAnsi="宋体"/>
          <w:color w:val="auto"/>
          <w:sz w:val="24"/>
          <w:szCs w:val="24"/>
          <w:lang w:eastAsia="zh-CN"/>
        </w:rPr>
        <w:t>《响应文件》</w:t>
      </w:r>
      <w:r>
        <w:rPr>
          <w:rFonts w:hint="eastAsia" w:ascii="宋体" w:hAnsi="宋体"/>
          <w:color w:val="auto"/>
          <w:sz w:val="24"/>
          <w:szCs w:val="24"/>
        </w:rPr>
        <w:t>（*.aytf）到殷都区公共资源交易平台。上传时投标人须使用制作该</w:t>
      </w:r>
      <w:r>
        <w:rPr>
          <w:rFonts w:hint="eastAsia" w:ascii="宋体" w:hAnsi="宋体"/>
          <w:color w:val="auto"/>
          <w:sz w:val="24"/>
          <w:szCs w:val="24"/>
          <w:lang w:eastAsia="zh-CN"/>
        </w:rPr>
        <w:t>《响应文件》</w:t>
      </w:r>
      <w:r>
        <w:rPr>
          <w:rFonts w:hint="eastAsia" w:ascii="宋体" w:hAnsi="宋体"/>
          <w:color w:val="auto"/>
          <w:sz w:val="24"/>
          <w:szCs w:val="24"/>
        </w:rPr>
        <w:t>的同一CA锁进行上传操作。请投标人在上传时认真检查上传</w:t>
      </w:r>
      <w:r>
        <w:rPr>
          <w:rFonts w:hint="eastAsia" w:ascii="宋体" w:hAnsi="宋体"/>
          <w:color w:val="auto"/>
          <w:sz w:val="24"/>
          <w:szCs w:val="24"/>
          <w:lang w:eastAsia="zh-CN"/>
        </w:rPr>
        <w:t>《响应文件》</w:t>
      </w:r>
      <w:r>
        <w:rPr>
          <w:rFonts w:hint="eastAsia" w:ascii="宋体" w:hAnsi="宋体"/>
          <w:color w:val="auto"/>
          <w:sz w:val="24"/>
          <w:szCs w:val="24"/>
        </w:rPr>
        <w:t>是否完整、正确。投标人应充分考虑上传文件时的不可预见因素，未在投标截止时间前完成上传的，视为逾期送达，殷都区公共资源交易平台将拒绝接收。</w:t>
      </w:r>
    </w:p>
    <w:p w14:paraId="56D54E11">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4.2.2 </w:t>
      </w:r>
      <w:r>
        <w:rPr>
          <w:rFonts w:hint="eastAsia" w:ascii="宋体" w:hAnsi="宋体" w:cs="楷体_GB2312"/>
          <w:b/>
          <w:color w:val="auto"/>
          <w:sz w:val="24"/>
          <w:lang w:val="zh-CN"/>
        </w:rPr>
        <w:t>据网上电子交易系统设</w:t>
      </w:r>
      <w:r>
        <w:rPr>
          <w:rFonts w:ascii="宋体" w:hAnsi="宋体" w:cs="楷体_GB2312"/>
          <w:b/>
          <w:color w:val="auto"/>
          <w:sz w:val="24"/>
          <w:lang w:val="zh-CN"/>
        </w:rPr>
        <w:t>定，</w:t>
      </w:r>
      <w:r>
        <w:rPr>
          <w:rFonts w:hint="eastAsia" w:ascii="宋体" w:hAnsi="宋体" w:cs="楷体_GB2312"/>
          <w:b/>
          <w:color w:val="auto"/>
          <w:sz w:val="24"/>
          <w:lang w:val="zh-CN"/>
        </w:rPr>
        <w:t>《响应文件》提交截止时间后，系统将自动锁定已经提交的电子《响应文件》，拒绝再次提交。投</w:t>
      </w:r>
      <w:r>
        <w:rPr>
          <w:rFonts w:ascii="宋体" w:hAnsi="宋体" w:cs="楷体_GB2312"/>
          <w:b/>
          <w:color w:val="auto"/>
          <w:sz w:val="24"/>
          <w:lang w:val="zh-CN"/>
        </w:rPr>
        <w:t>标人</w:t>
      </w:r>
      <w:r>
        <w:rPr>
          <w:rFonts w:hint="eastAsia" w:ascii="宋体" w:hAnsi="宋体" w:cs="楷体_GB2312"/>
          <w:b/>
          <w:color w:val="auto"/>
          <w:sz w:val="24"/>
          <w:lang w:val="zh-CN"/>
        </w:rPr>
        <w:t>将无法通过网上电子交易系统进行上传，采购代理机构将无法接受并拒绝接受投标截止时间以后提</w:t>
      </w:r>
      <w:r>
        <w:rPr>
          <w:rFonts w:ascii="宋体" w:hAnsi="宋体" w:cs="楷体_GB2312"/>
          <w:b/>
          <w:color w:val="auto"/>
          <w:sz w:val="24"/>
          <w:lang w:val="zh-CN"/>
        </w:rPr>
        <w:t>交</w:t>
      </w:r>
      <w:r>
        <w:rPr>
          <w:rFonts w:hint="eastAsia" w:ascii="宋体" w:hAnsi="宋体" w:cs="楷体_GB2312"/>
          <w:b/>
          <w:color w:val="auto"/>
          <w:sz w:val="24"/>
          <w:lang w:val="zh-CN"/>
        </w:rPr>
        <w:t>的《响应文件》</w:t>
      </w:r>
    </w:p>
    <w:p w14:paraId="38BDF50B">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由于不可抗拒的原因，代理机构对《响应文件》的遗失和损坏不负任何责任。</w:t>
      </w:r>
    </w:p>
    <w:p w14:paraId="00863870">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除投标人须知前附表另有规定外，投标人所递交的《响应文件》不予退还。</w:t>
      </w:r>
    </w:p>
    <w:p w14:paraId="01FCC07A">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w:t>
      </w:r>
      <w:r>
        <w:rPr>
          <w:rFonts w:ascii="宋体" w:hAnsi="宋体" w:cs="楷体_GB2312"/>
          <w:b/>
          <w:color w:val="auto"/>
          <w:sz w:val="24"/>
          <w:lang w:val="zh-CN"/>
        </w:rPr>
        <w:t>网上电子交易的</w:t>
      </w:r>
      <w:r>
        <w:rPr>
          <w:rFonts w:hint="eastAsia" w:ascii="宋体" w:hAnsi="宋体" w:cs="楷体_GB2312"/>
          <w:b/>
          <w:color w:val="auto"/>
          <w:sz w:val="24"/>
          <w:lang w:val="zh-CN"/>
        </w:rPr>
        <w:t>系统</w:t>
      </w:r>
      <w:r>
        <w:rPr>
          <w:rFonts w:ascii="宋体" w:hAnsi="宋体" w:cs="楷体_GB2312"/>
          <w:b/>
          <w:color w:val="auto"/>
          <w:sz w:val="24"/>
          <w:lang w:val="zh-CN"/>
        </w:rPr>
        <w:t>要求及</w:t>
      </w:r>
      <w:r>
        <w:rPr>
          <w:rFonts w:hint="eastAsia" w:ascii="宋体" w:hAnsi="宋体" w:cs="楷体_GB2312"/>
          <w:b/>
          <w:color w:val="auto"/>
          <w:sz w:val="24"/>
          <w:lang w:val="zh-CN"/>
        </w:rPr>
        <w:t>特点</w:t>
      </w:r>
      <w:r>
        <w:rPr>
          <w:rFonts w:ascii="宋体" w:hAnsi="宋体" w:cs="楷体_GB2312"/>
          <w:b/>
          <w:color w:val="auto"/>
          <w:sz w:val="24"/>
          <w:lang w:val="zh-CN"/>
        </w:rPr>
        <w:t>，</w:t>
      </w:r>
      <w:r>
        <w:rPr>
          <w:rFonts w:hint="eastAsia" w:ascii="宋体" w:hAnsi="宋体" w:cs="楷体_GB2312"/>
          <w:b/>
          <w:color w:val="auto"/>
          <w:sz w:val="24"/>
          <w:lang w:val="zh-CN"/>
        </w:rPr>
        <w:t>只</w:t>
      </w:r>
      <w:r>
        <w:rPr>
          <w:rFonts w:ascii="宋体" w:hAnsi="宋体" w:cs="楷体_GB2312"/>
          <w:b/>
          <w:color w:val="auto"/>
          <w:sz w:val="24"/>
          <w:lang w:val="zh-CN"/>
        </w:rPr>
        <w:t>接受基于</w:t>
      </w:r>
      <w:r>
        <w:rPr>
          <w:rFonts w:hint="eastAsia" w:ascii="宋体" w:hAnsi="宋体" w:cs="楷体_GB2312"/>
          <w:b/>
          <w:color w:val="auto"/>
          <w:sz w:val="24"/>
          <w:lang w:val="zh-CN"/>
        </w:rPr>
        <w:t>符</w:t>
      </w:r>
      <w:r>
        <w:rPr>
          <w:rFonts w:ascii="宋体" w:hAnsi="宋体" w:cs="楷体_GB2312"/>
          <w:b/>
          <w:color w:val="auto"/>
          <w:sz w:val="24"/>
          <w:lang w:val="zh-CN"/>
        </w:rPr>
        <w:t>合</w:t>
      </w:r>
      <w:r>
        <w:rPr>
          <w:rFonts w:hint="eastAsia" w:ascii="宋体" w:hAnsi="宋体" w:cs="楷体_GB2312"/>
          <w:b/>
          <w:color w:val="auto"/>
          <w:sz w:val="24"/>
          <w:lang w:val="zh-CN"/>
        </w:rPr>
        <w:t>网上电子交易系统要</w:t>
      </w:r>
      <w:r>
        <w:rPr>
          <w:rFonts w:ascii="宋体" w:hAnsi="宋体" w:cs="楷体_GB2312"/>
          <w:b/>
          <w:color w:val="auto"/>
          <w:sz w:val="24"/>
          <w:lang w:val="zh-CN"/>
        </w:rPr>
        <w:t>求</w:t>
      </w:r>
      <w:r>
        <w:rPr>
          <w:rFonts w:hint="eastAsia" w:ascii="宋体" w:hAnsi="宋体" w:cs="楷体_GB2312"/>
          <w:b/>
          <w:color w:val="auto"/>
          <w:sz w:val="24"/>
          <w:lang w:val="zh-CN"/>
        </w:rPr>
        <w:t>的</w:t>
      </w:r>
      <w:r>
        <w:rPr>
          <w:rFonts w:ascii="宋体" w:hAnsi="宋体" w:cs="楷体_GB2312"/>
          <w:b/>
          <w:color w:val="auto"/>
          <w:sz w:val="24"/>
          <w:lang w:val="zh-CN"/>
        </w:rPr>
        <w:t>投标</w:t>
      </w:r>
      <w:r>
        <w:rPr>
          <w:rFonts w:hint="eastAsia" w:ascii="宋体" w:hAnsi="宋体" w:cs="楷体_GB2312"/>
          <w:b/>
          <w:color w:val="auto"/>
          <w:sz w:val="24"/>
          <w:lang w:val="zh-CN"/>
        </w:rPr>
        <w:t>，</w:t>
      </w:r>
      <w:r>
        <w:rPr>
          <w:rFonts w:ascii="宋体" w:hAnsi="宋体" w:cs="楷体_GB2312"/>
          <w:b/>
          <w:color w:val="auto"/>
          <w:sz w:val="24"/>
          <w:lang w:val="zh-CN"/>
        </w:rPr>
        <w:t>其他如纸制、送达、</w:t>
      </w:r>
      <w:r>
        <w:rPr>
          <w:rFonts w:hint="eastAsia" w:ascii="宋体" w:hAnsi="宋体" w:cs="楷体_GB2312"/>
          <w:b/>
          <w:color w:val="auto"/>
          <w:sz w:val="24"/>
          <w:lang w:val="zh-CN"/>
        </w:rPr>
        <w:t>电报、电话、电子邮件等形式的投标概不接受。</w:t>
      </w:r>
    </w:p>
    <w:p w14:paraId="24E0CBF7">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 xml:space="preserve">4.3 </w:t>
      </w:r>
      <w:r>
        <w:rPr>
          <w:rFonts w:hint="eastAsia" w:ascii="黑体" w:hAnsi="黑体" w:eastAsia="黑体" w:cs="楷体_GB2312"/>
          <w:b/>
          <w:sz w:val="24"/>
          <w:lang w:val="zh-CN"/>
        </w:rPr>
        <w:t>《响应文件》的修改与撤回</w:t>
      </w:r>
    </w:p>
    <w:p w14:paraId="7915C75E">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4.3.1</w:t>
      </w:r>
      <w:r>
        <w:rPr>
          <w:rFonts w:hint="eastAsia" w:ascii="宋体" w:hAnsi="宋体" w:cs="楷体_GB2312"/>
          <w:b/>
          <w:color w:val="auto"/>
          <w:sz w:val="24"/>
          <w:lang w:val="zh-CN"/>
        </w:rPr>
        <w:t xml:space="preserve"> 投标人于提交《响应文件》截止时间前如对《响应文件》进行补充、修改，可以上传新的《响应文件》进行覆盖。投标人如撤回《响应文件》，应及时书面通知采购代理机构进行办理。</w:t>
      </w:r>
    </w:p>
    <w:p w14:paraId="406AEFEA">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w:t>
      </w:r>
      <w:r>
        <w:rPr>
          <w:rFonts w:hint="eastAsia" w:ascii="宋体" w:hAnsi="宋体" w:cs="楷体_GB2312"/>
          <w:b/>
          <w:color w:val="auto"/>
          <w:sz w:val="24"/>
          <w:lang w:val="zh-CN"/>
        </w:rPr>
        <w:t>2 投标人在《响应文件》提</w:t>
      </w:r>
      <w:r>
        <w:rPr>
          <w:rFonts w:ascii="宋体" w:hAnsi="宋体" w:cs="楷体_GB2312"/>
          <w:b/>
          <w:color w:val="auto"/>
          <w:sz w:val="24"/>
          <w:lang w:val="zh-CN"/>
        </w:rPr>
        <w:t>交</w:t>
      </w:r>
      <w:r>
        <w:rPr>
          <w:rFonts w:hint="eastAsia" w:ascii="宋体" w:hAnsi="宋体" w:cs="楷体_GB2312"/>
          <w:b/>
          <w:color w:val="auto"/>
          <w:sz w:val="24"/>
          <w:lang w:val="zh-CN"/>
        </w:rPr>
        <w:t>截止时间后不得自行修改或撤回其投标，否则</w:t>
      </w:r>
      <w:r>
        <w:rPr>
          <w:rFonts w:hint="eastAsia" w:ascii="宋体" w:hAnsi="宋体"/>
          <w:color w:val="auto"/>
          <w:sz w:val="24"/>
          <w:szCs w:val="24"/>
        </w:rPr>
        <w:t>依据</w:t>
      </w:r>
      <w:r>
        <w:rPr>
          <w:rFonts w:hint="eastAsia" w:ascii="宋体" w:hAnsi="宋体"/>
          <w:color w:val="auto"/>
          <w:sz w:val="24"/>
          <w:szCs w:val="24"/>
          <w:lang w:eastAsia="zh-CN"/>
        </w:rPr>
        <w:t>《谈判文件》</w:t>
      </w:r>
      <w:r>
        <w:rPr>
          <w:rFonts w:hint="eastAsia" w:ascii="宋体" w:hAnsi="宋体"/>
          <w:color w:val="auto"/>
          <w:sz w:val="24"/>
          <w:szCs w:val="24"/>
        </w:rPr>
        <w:t>“第三章</w:t>
      </w:r>
      <w:r>
        <w:rPr>
          <w:rFonts w:hint="eastAsia" w:ascii="宋体" w:hAnsi="宋体"/>
          <w:color w:val="auto"/>
          <w:sz w:val="24"/>
          <w:szCs w:val="24"/>
          <w:lang w:val="en-US" w:eastAsia="zh-CN"/>
        </w:rPr>
        <w:t xml:space="preserve"> </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p>
    <w:p w14:paraId="67787FEC">
      <w:pPr>
        <w:autoSpaceDE w:val="0"/>
        <w:autoSpaceDN w:val="0"/>
        <w:adjustRightInd w:val="0"/>
        <w:snapToGrid w:val="0"/>
        <w:spacing w:before="156" w:beforeLines="50" w:line="300" w:lineRule="auto"/>
        <w:ind w:firstLine="539"/>
        <w:rPr>
          <w:rFonts w:ascii="宋体" w:cs="楷体_GB2312"/>
          <w:color w:val="auto"/>
          <w:sz w:val="24"/>
          <w:lang w:val="zh-CN"/>
        </w:rPr>
      </w:pPr>
    </w:p>
    <w:p w14:paraId="27BC0058">
      <w:pPr>
        <w:autoSpaceDE w:val="0"/>
        <w:autoSpaceDN w:val="0"/>
        <w:adjustRightInd w:val="0"/>
        <w:snapToGrid w:val="0"/>
        <w:spacing w:before="156" w:beforeLines="50" w:line="300" w:lineRule="auto"/>
        <w:ind w:firstLine="539"/>
        <w:outlineLvl w:val="1"/>
        <w:rPr>
          <w:rFonts w:ascii="宋体" w:cs="楷体_GB2312"/>
          <w:color w:val="auto"/>
          <w:sz w:val="24"/>
          <w:lang w:val="zh-CN"/>
        </w:rPr>
      </w:pPr>
      <w:bookmarkStart w:id="33" w:name="_Toc7317"/>
      <w:r>
        <w:rPr>
          <w:rFonts w:ascii="黑体" w:hAnsi="黑体" w:eastAsia="黑体" w:cs="楷体_GB2312"/>
          <w:b/>
          <w:bCs/>
          <w:color w:val="auto"/>
          <w:sz w:val="28"/>
          <w:szCs w:val="28"/>
          <w:lang w:val="zh-CN"/>
        </w:rPr>
        <w:t xml:space="preserve">5. </w:t>
      </w:r>
      <w:r>
        <w:rPr>
          <w:rFonts w:hint="eastAsia" w:ascii="黑体" w:hAnsi="黑体" w:eastAsia="黑体" w:cs="楷体_GB2312"/>
          <w:b/>
          <w:bCs/>
          <w:color w:val="auto"/>
          <w:sz w:val="28"/>
          <w:szCs w:val="28"/>
          <w:lang w:val="zh-CN"/>
        </w:rPr>
        <w:t>开标（《响应文件》的开启）</w:t>
      </w:r>
      <w:bookmarkEnd w:id="33"/>
    </w:p>
    <w:p w14:paraId="039033A1">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开标时间和地点</w:t>
      </w:r>
    </w:p>
    <w:p w14:paraId="5DF7790F">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采购人和采购代理机构按谈判公告规定的时间和地点于</w:t>
      </w:r>
      <w:r>
        <w:rPr>
          <w:rFonts w:ascii="宋体" w:hAnsi="宋体" w:cs="楷体_GB2312"/>
          <w:b/>
          <w:color w:val="auto"/>
          <w:sz w:val="24"/>
          <w:lang w:val="zh-CN"/>
        </w:rPr>
        <w:t>网上</w:t>
      </w:r>
      <w:r>
        <w:rPr>
          <w:rFonts w:hint="eastAsia" w:ascii="宋体" w:hAnsi="宋体" w:cs="楷体_GB2312"/>
          <w:b/>
          <w:color w:val="auto"/>
          <w:sz w:val="24"/>
          <w:lang w:val="zh-CN"/>
        </w:rPr>
        <w:t>（谈判公告所述网上电子交易系统</w:t>
      </w:r>
      <w:r>
        <w:rPr>
          <w:rFonts w:ascii="宋体" w:hAnsi="宋体" w:cs="楷体_GB2312"/>
          <w:b/>
          <w:color w:val="auto"/>
          <w:sz w:val="24"/>
          <w:lang w:val="zh-CN"/>
        </w:rPr>
        <w:t>）</w:t>
      </w:r>
      <w:r>
        <w:rPr>
          <w:rFonts w:hint="eastAsia" w:ascii="宋体" w:hAnsi="宋体" w:cs="楷体_GB2312"/>
          <w:b/>
          <w:color w:val="auto"/>
          <w:sz w:val="24"/>
          <w:lang w:val="zh-CN"/>
        </w:rPr>
        <w:t>公开开标。</w:t>
      </w:r>
    </w:p>
    <w:p w14:paraId="0D7C18EF">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5.1.2</w:t>
      </w:r>
      <w:r>
        <w:rPr>
          <w:rFonts w:hint="eastAsia" w:ascii="宋体" w:hAnsi="宋体" w:cs="楷体_GB2312"/>
          <w:b/>
          <w:color w:val="auto"/>
          <w:sz w:val="24"/>
          <w:lang w:val="zh-CN"/>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响应文件》解密等。因投标人原因未能解密、解密失败或解密超时的将被拒绝。</w:t>
      </w:r>
    </w:p>
    <w:p w14:paraId="73E1B1CE">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开标程序</w:t>
      </w:r>
    </w:p>
    <w:p w14:paraId="20CA3A15">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5.2.1</w:t>
      </w:r>
      <w:r>
        <w:rPr>
          <w:rFonts w:hint="eastAsia" w:ascii="宋体" w:hAnsi="宋体" w:cs="楷体_GB2312"/>
          <w:b/>
          <w:color w:val="auto"/>
          <w:sz w:val="24"/>
          <w:lang w:val="zh-CN"/>
        </w:rPr>
        <w:t xml:space="preserve"> 本项目为网</w:t>
      </w:r>
      <w:r>
        <w:rPr>
          <w:rFonts w:ascii="宋体" w:hAnsi="宋体" w:cs="楷体_GB2312"/>
          <w:b/>
          <w:color w:val="auto"/>
          <w:sz w:val="24"/>
          <w:lang w:val="zh-CN"/>
        </w:rPr>
        <w:t>上</w:t>
      </w:r>
      <w:r>
        <w:rPr>
          <w:rFonts w:hint="eastAsia" w:ascii="宋体" w:hAnsi="宋体" w:cs="楷体_GB2312"/>
          <w:b/>
          <w:color w:val="auto"/>
          <w:sz w:val="24"/>
          <w:lang w:val="zh-CN"/>
        </w:rPr>
        <w:t>电子交易方</w:t>
      </w:r>
      <w:r>
        <w:rPr>
          <w:rFonts w:ascii="宋体" w:hAnsi="宋体" w:cs="楷体_GB2312"/>
          <w:b/>
          <w:color w:val="auto"/>
          <w:sz w:val="24"/>
          <w:lang w:val="zh-CN"/>
        </w:rPr>
        <w:t>式，</w:t>
      </w:r>
      <w:r>
        <w:rPr>
          <w:rFonts w:hint="eastAsia" w:ascii="宋体" w:hAnsi="宋体" w:cs="楷体_GB2312"/>
          <w:b/>
          <w:color w:val="auto"/>
          <w:sz w:val="24"/>
          <w:lang w:val="zh-CN"/>
        </w:rPr>
        <w:t>《响应文件》的开启方式为远程解密，为保证开标工作顺利进行，投标人需在开标阶段</w:t>
      </w:r>
      <w:r>
        <w:rPr>
          <w:rFonts w:ascii="宋体" w:hAnsi="宋体" w:cs="楷体_GB2312"/>
          <w:b/>
          <w:color w:val="auto"/>
          <w:sz w:val="24"/>
          <w:lang w:val="zh-CN"/>
        </w:rPr>
        <w:t>、在</w:t>
      </w:r>
      <w:r>
        <w:rPr>
          <w:rFonts w:hint="eastAsia" w:ascii="宋体" w:hAnsi="宋体" w:cs="楷体_GB2312"/>
          <w:b/>
          <w:color w:val="auto"/>
          <w:sz w:val="24"/>
          <w:lang w:val="zh-CN"/>
        </w:rPr>
        <w:t>管理员下达解密指令后的指定时限内，完成对本单位的加密《响应文件》的远程解密。如投标人因自身原因、在指定时限内没</w:t>
      </w:r>
      <w:r>
        <w:rPr>
          <w:rFonts w:ascii="宋体" w:hAnsi="宋体" w:cs="楷体_GB2312"/>
          <w:b/>
          <w:color w:val="auto"/>
          <w:sz w:val="24"/>
          <w:lang w:val="zh-CN"/>
        </w:rPr>
        <w:t>有</w:t>
      </w:r>
      <w:r>
        <w:rPr>
          <w:rFonts w:hint="eastAsia" w:ascii="宋体" w:hAnsi="宋体" w:cs="楷体_GB2312"/>
          <w:b/>
          <w:color w:val="auto"/>
          <w:sz w:val="24"/>
          <w:lang w:val="zh-CN"/>
        </w:rPr>
        <w:t>解密成功的，其投标将不能被接受，投标人自行承担相应后果。</w:t>
      </w:r>
    </w:p>
    <w:p w14:paraId="6547B8BF">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14:paraId="56CA4950">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b/>
          <w:color w:val="auto"/>
          <w:sz w:val="24"/>
          <w:lang w:val="zh-CN"/>
        </w:rPr>
        <w:t>5.2.2</w:t>
      </w:r>
      <w:r>
        <w:rPr>
          <w:rFonts w:hint="eastAsia" w:ascii="宋体" w:hAnsi="宋体" w:cs="楷体_GB2312"/>
          <w:b/>
          <w:color w:val="auto"/>
          <w:sz w:val="24"/>
          <w:lang w:val="zh-CN"/>
        </w:rPr>
        <w:t xml:space="preserve"> 投标人对开标过程和开标记录有疑义，以及认为采购人、采购代理机构相关工作人员有需要回避的情形的，应在系统中提出询问或者回避申请，否则，视为对开标无异议。</w:t>
      </w:r>
    </w:p>
    <w:p w14:paraId="0E21D685">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在开标或评审过程中，有效投标应在三家以上（包括三家）；有效投标不足三家的应予终止（废标）。</w:t>
      </w:r>
    </w:p>
    <w:p w14:paraId="729F8875">
      <w:pPr>
        <w:autoSpaceDE w:val="0"/>
        <w:autoSpaceDN w:val="0"/>
        <w:adjustRightInd w:val="0"/>
        <w:snapToGrid w:val="0"/>
        <w:spacing w:before="156" w:beforeLines="50" w:line="300" w:lineRule="auto"/>
        <w:ind w:firstLine="539"/>
        <w:rPr>
          <w:rFonts w:ascii="宋体" w:cs="楷体_GB2312"/>
          <w:color w:val="auto"/>
          <w:sz w:val="24"/>
          <w:lang w:val="zh-CN"/>
        </w:rPr>
      </w:pPr>
    </w:p>
    <w:p w14:paraId="5FB5347E">
      <w:pPr>
        <w:autoSpaceDE w:val="0"/>
        <w:autoSpaceDN w:val="0"/>
        <w:adjustRightInd w:val="0"/>
        <w:snapToGrid w:val="0"/>
        <w:spacing w:before="156" w:beforeLines="50" w:line="300" w:lineRule="auto"/>
        <w:ind w:firstLine="539"/>
        <w:outlineLvl w:val="1"/>
        <w:rPr>
          <w:rFonts w:ascii="宋体" w:cs="楷体_GB2312"/>
          <w:color w:val="auto"/>
          <w:sz w:val="24"/>
          <w:lang w:val="zh-CN"/>
        </w:rPr>
      </w:pPr>
      <w:bookmarkStart w:id="34" w:name="_Toc18803"/>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评审</w:t>
      </w:r>
      <w:bookmarkEnd w:id="34"/>
    </w:p>
    <w:p w14:paraId="0CFC5368">
      <w:pPr>
        <w:autoSpaceDE w:val="0"/>
        <w:autoSpaceDN w:val="0"/>
        <w:adjustRightInd w:val="0"/>
        <w:snapToGrid w:val="0"/>
        <w:spacing w:before="156" w:beforeLines="50" w:line="300" w:lineRule="auto"/>
        <w:ind w:firstLine="539"/>
        <w:rPr>
          <w:rFonts w:ascii="黑体" w:hAnsi="黑体" w:eastAsia="黑体" w:cs="楷体_GB2312"/>
          <w:b/>
          <w:color w:val="FF0000"/>
          <w:sz w:val="24"/>
          <w:lang w:val="zh-CN"/>
        </w:rPr>
      </w:pPr>
      <w:r>
        <w:rPr>
          <w:rFonts w:ascii="黑体" w:hAnsi="黑体" w:eastAsia="黑体" w:cs="楷体_GB2312"/>
          <w:b/>
          <w:sz w:val="24"/>
          <w:lang w:val="zh-CN"/>
        </w:rPr>
        <w:t xml:space="preserve">6.1 </w:t>
      </w:r>
      <w:r>
        <w:rPr>
          <w:rFonts w:hint="eastAsia" w:ascii="黑体" w:hAnsi="黑体" w:eastAsia="黑体" w:cs="楷体_GB2312"/>
          <w:b/>
          <w:sz w:val="24"/>
          <w:lang w:val="zh-CN"/>
        </w:rPr>
        <w:t>谈判小组</w:t>
      </w:r>
    </w:p>
    <w:p w14:paraId="50A3C492">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sz w:val="24"/>
          <w:lang w:val="zh-CN"/>
        </w:rPr>
        <w:t>评审工作由依法组建的谈判小组负责。谈判小</w:t>
      </w:r>
      <w:r>
        <w:rPr>
          <w:rFonts w:hint="eastAsia" w:ascii="宋体" w:hAnsi="宋体" w:cs="楷体_GB2312"/>
          <w:color w:val="auto"/>
          <w:sz w:val="24"/>
          <w:highlight w:val="none"/>
          <w:lang w:val="zh-CN"/>
        </w:rPr>
        <w:t>组由采购人代表和评审专家共</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人及以上单数组成，其中评审专家人数不少于谈判小组成员总数的</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，评审专家是在监督部门监督下从政府采购专家库中随机抽取产生。</w:t>
      </w:r>
    </w:p>
    <w:p w14:paraId="08A8F3A0">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 xml:space="preserve">6.2 </w:t>
      </w:r>
      <w:r>
        <w:rPr>
          <w:rFonts w:hint="eastAsia" w:ascii="黑体" w:hAnsi="黑体" w:eastAsia="黑体" w:cs="楷体_GB2312"/>
          <w:b/>
          <w:sz w:val="24"/>
          <w:lang w:val="zh-CN"/>
        </w:rPr>
        <w:t>评审原则</w:t>
      </w:r>
    </w:p>
    <w:p w14:paraId="53017128">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sz w:val="24"/>
          <w:lang w:val="zh-CN"/>
        </w:rPr>
        <w:t>6.2</w:t>
      </w:r>
      <w:r>
        <w:rPr>
          <w:rFonts w:ascii="宋体" w:hAnsi="宋体" w:cs="楷体_GB2312"/>
          <w:color w:val="auto"/>
          <w:sz w:val="24"/>
          <w:lang w:val="zh-CN"/>
        </w:rPr>
        <w:t xml:space="preserve">.1 </w:t>
      </w:r>
      <w:r>
        <w:rPr>
          <w:rFonts w:hint="eastAsia" w:ascii="宋体" w:hAnsi="宋体" w:cs="楷体_GB2312"/>
          <w:color w:val="auto"/>
          <w:sz w:val="24"/>
          <w:lang w:val="zh-CN"/>
        </w:rPr>
        <w:t>坚持公开、公平、公正地对待所有投标人。</w:t>
      </w:r>
    </w:p>
    <w:p w14:paraId="7CECCC07">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6.2.2 </w:t>
      </w:r>
      <w:r>
        <w:rPr>
          <w:rFonts w:hint="eastAsia" w:ascii="宋体" w:hAnsi="宋体" w:cs="楷体_GB2312"/>
          <w:color w:val="auto"/>
          <w:sz w:val="24"/>
          <w:lang w:val="zh-CN"/>
        </w:rPr>
        <w:t>按照同一评审程序及方法审查所有投标人的《响应文件》。</w:t>
      </w:r>
    </w:p>
    <w:p w14:paraId="4B68F85B">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6.2.3 </w:t>
      </w:r>
      <w:r>
        <w:rPr>
          <w:rFonts w:hint="eastAsia" w:ascii="宋体" w:hAnsi="宋体" w:cs="楷体_GB2312"/>
          <w:color w:val="auto"/>
          <w:sz w:val="24"/>
          <w:lang w:val="zh-CN"/>
        </w:rPr>
        <w:t>反对不正当竞争。</w:t>
      </w:r>
    </w:p>
    <w:p w14:paraId="6CC18EE1">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评审</w:t>
      </w:r>
    </w:p>
    <w:p w14:paraId="73CACA50">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6.3.1</w:t>
      </w:r>
      <w:r>
        <w:rPr>
          <w:rFonts w:hint="eastAsia" w:ascii="宋体" w:hAnsi="宋体" w:eastAsia="宋体" w:cs="楷体_GB2312"/>
          <w:sz w:val="24"/>
          <w:lang w:val="zh-CN"/>
        </w:rPr>
        <w:t xml:space="preserve"> 评审工作在谈判小组内独立进行。谈判小组按照第四章“评审办法”规定的方法、评审因素、标准和程序对《响应文件》进行评审。第四章“评审办法”没有规定的方法、评审因素和标准，不作为评审依据。</w:t>
      </w:r>
    </w:p>
    <w:p w14:paraId="5626818F">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6.3.2</w:t>
      </w:r>
      <w:r>
        <w:rPr>
          <w:rFonts w:hint="eastAsia" w:ascii="宋体" w:hAnsi="宋体" w:eastAsia="宋体" w:cs="楷体_GB2312"/>
          <w:sz w:val="24"/>
          <w:lang w:val="zh-CN"/>
        </w:rPr>
        <w:t xml:space="preserve"> 在开标、评审期间，投标人不得向谈判小组成员询问情况，不得进行旨在影响评审结果的活动。</w:t>
      </w:r>
    </w:p>
    <w:p w14:paraId="7B49036B">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6.4</w:t>
      </w:r>
      <w:r>
        <w:rPr>
          <w:rFonts w:hint="eastAsia" w:ascii="黑体" w:hAnsi="黑体" w:eastAsia="黑体" w:cs="楷体_GB2312"/>
          <w:b/>
          <w:color w:val="auto"/>
          <w:sz w:val="24"/>
          <w:lang w:val="en-US" w:eastAsia="zh-CN"/>
        </w:rPr>
        <w:t xml:space="preserve"> </w:t>
      </w:r>
      <w:r>
        <w:rPr>
          <w:rFonts w:hint="eastAsia" w:ascii="黑体" w:hAnsi="黑体" w:eastAsia="黑体" w:cs="楷体_GB2312"/>
          <w:b/>
          <w:color w:val="auto"/>
          <w:sz w:val="24"/>
          <w:lang w:val="zh-CN"/>
        </w:rPr>
        <w:t>谈判：</w:t>
      </w:r>
      <w:r>
        <w:rPr>
          <w:rFonts w:hint="eastAsia" w:ascii="宋体" w:hAnsi="宋体" w:cs="楷体_GB2312"/>
          <w:color w:val="auto"/>
          <w:sz w:val="24"/>
          <w:lang w:val="zh-CN"/>
        </w:rPr>
        <w:t>见第四章“评审办法”</w:t>
      </w:r>
      <w:r>
        <w:rPr>
          <w:rFonts w:ascii="宋体" w:hAnsi="宋体" w:cs="楷体_GB2312"/>
          <w:color w:val="auto"/>
          <w:sz w:val="24"/>
          <w:lang w:val="zh-CN"/>
        </w:rPr>
        <w:t>3.5</w:t>
      </w:r>
      <w:r>
        <w:rPr>
          <w:rFonts w:hint="eastAsia" w:ascii="宋体" w:hAnsi="宋体" w:cs="楷体_GB2312"/>
          <w:color w:val="auto"/>
          <w:sz w:val="24"/>
          <w:lang w:val="zh-CN"/>
        </w:rPr>
        <w:t>款谈判规则。</w:t>
      </w:r>
    </w:p>
    <w:p w14:paraId="7984E1F9">
      <w:pPr>
        <w:autoSpaceDE w:val="0"/>
        <w:autoSpaceDN w:val="0"/>
        <w:adjustRightInd w:val="0"/>
        <w:snapToGrid w:val="0"/>
        <w:spacing w:before="156" w:beforeLines="50" w:line="300" w:lineRule="auto"/>
        <w:ind w:firstLine="539"/>
        <w:rPr>
          <w:rFonts w:ascii="宋体" w:cs="楷体_GB2312"/>
          <w:color w:val="auto"/>
          <w:sz w:val="24"/>
          <w:lang w:val="zh-CN"/>
        </w:rPr>
      </w:pPr>
    </w:p>
    <w:p w14:paraId="1A7FC6EA">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35" w:name="_Toc12092"/>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授予合同</w:t>
      </w:r>
      <w:bookmarkEnd w:id="35"/>
    </w:p>
    <w:p w14:paraId="360F5EA0">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确定成交供应商方式</w:t>
      </w:r>
    </w:p>
    <w:p w14:paraId="256C8882">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除投标人须知前附表规定授权谈判小组直接确定成交供应商外，采购人应当自收到评审报告之日起</w:t>
      </w:r>
      <w:r>
        <w:rPr>
          <w:rFonts w:ascii="宋体" w:hAnsi="宋体" w:cs="楷体_GB2312"/>
          <w:color w:val="auto"/>
          <w:sz w:val="24"/>
          <w:lang w:val="zh-CN"/>
        </w:rPr>
        <w:t>5</w:t>
      </w:r>
      <w:r>
        <w:rPr>
          <w:rFonts w:hint="eastAsia" w:ascii="宋体" w:hAnsi="宋体" w:cs="楷体_GB2312"/>
          <w:color w:val="auto"/>
          <w:sz w:val="24"/>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谈判小组提出的成交候选人名单排序依次确定其他成交候选人为成交供应商，也可以重新采购。</w:t>
      </w:r>
    </w:p>
    <w:p w14:paraId="15EDFA85">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成交结果公告</w:t>
      </w:r>
    </w:p>
    <w:p w14:paraId="2D849307">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采购代理机构在成交供应商确定当天即时，在谈判公告所述媒体公告成交结果。同时向成交供应商发出成交通知书。成交结果公告期限为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14:paraId="24305E1A">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质疑、投诉</w:t>
      </w:r>
    </w:p>
    <w:p w14:paraId="25EA62D1">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7.3.1</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见投标人须知前附表。</w:t>
      </w:r>
    </w:p>
    <w:p w14:paraId="3609D8C9">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7.3.2</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询问或者质疑事项可能影响成交结果的，采购人应当暂停签订合同，已经签订合同的，应当中止履行合同。</w:t>
      </w:r>
    </w:p>
    <w:p w14:paraId="6C6AFE62">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7.4 </w:t>
      </w:r>
      <w:r>
        <w:rPr>
          <w:rFonts w:hint="eastAsia" w:ascii="黑体" w:hAnsi="黑体" w:eastAsia="黑体" w:cs="楷体_GB2312"/>
          <w:b/>
          <w:color w:val="auto"/>
          <w:sz w:val="24"/>
          <w:lang w:val="zh-CN"/>
        </w:rPr>
        <w:t>成交通知：</w:t>
      </w:r>
      <w:r>
        <w:rPr>
          <w:rFonts w:hint="eastAsia" w:ascii="宋体" w:hAnsi="宋体" w:cs="楷体_GB2312"/>
          <w:color w:val="auto"/>
          <w:sz w:val="24"/>
          <w:lang w:val="zh-CN"/>
        </w:rPr>
        <w:t>见投标人须知前附表。</w:t>
      </w:r>
    </w:p>
    <w:p w14:paraId="30B9D5D1">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7.5 </w:t>
      </w:r>
      <w:r>
        <w:rPr>
          <w:rFonts w:hint="eastAsia" w:ascii="黑体" w:hAnsi="黑体" w:eastAsia="黑体" w:cs="楷体_GB2312"/>
          <w:b/>
          <w:color w:val="auto"/>
          <w:sz w:val="24"/>
          <w:lang w:val="zh-CN"/>
        </w:rPr>
        <w:t>履约保证金</w:t>
      </w:r>
    </w:p>
    <w:p w14:paraId="71CFF544">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7.5.1</w:t>
      </w:r>
      <w:r>
        <w:rPr>
          <w:rFonts w:hint="eastAsia" w:ascii="宋体" w:hAnsi="宋体" w:eastAsia="宋体" w:cs="楷体_GB2312"/>
          <w:sz w:val="24"/>
          <w:lang w:val="zh-CN"/>
        </w:rPr>
        <w:t xml:space="preserve"> 在签订合同时，成交供应商应按投标人须知前附表规定向采购人提交履约保证金。</w:t>
      </w:r>
    </w:p>
    <w:p w14:paraId="5C6B19A2">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 xml:space="preserve">7.5.2 </w:t>
      </w:r>
      <w:r>
        <w:rPr>
          <w:rFonts w:hint="eastAsia" w:ascii="宋体" w:hAnsi="宋体" w:eastAsia="宋体" w:cs="楷体_GB2312"/>
          <w:sz w:val="24"/>
          <w:lang w:val="zh-CN"/>
        </w:rPr>
        <w:t>成交供应商不能按本章第</w:t>
      </w:r>
      <w:r>
        <w:rPr>
          <w:rFonts w:ascii="宋体" w:hAnsi="宋体" w:eastAsia="宋体" w:cs="楷体_GB2312"/>
          <w:sz w:val="24"/>
          <w:lang w:val="zh-CN"/>
        </w:rPr>
        <w:t>7.5.1</w:t>
      </w:r>
      <w:r>
        <w:rPr>
          <w:rFonts w:hint="eastAsia" w:ascii="宋体" w:hAnsi="宋体" w:eastAsia="宋体" w:cs="楷体_GB2312"/>
          <w:sz w:val="24"/>
          <w:lang w:val="zh-CN"/>
        </w:rPr>
        <w:t>项要求提交履约保证金的，视为放弃成交资格，依据</w:t>
      </w:r>
      <w:r>
        <w:rPr>
          <w:rFonts w:hint="eastAsia" w:ascii="宋体" w:hAnsi="宋体" w:eastAsia="宋体" w:cs="楷体_GB2312"/>
          <w:sz w:val="24"/>
          <w:lang w:val="zh-CN" w:eastAsia="zh-CN"/>
        </w:rPr>
        <w:t>《谈判文件》</w:t>
      </w:r>
      <w:r>
        <w:rPr>
          <w:rFonts w:hint="eastAsia" w:ascii="宋体" w:hAnsi="宋体" w:eastAsia="宋体" w:cs="楷体_GB2312"/>
          <w:sz w:val="24"/>
          <w:lang w:val="zh-CN"/>
        </w:rPr>
        <w:t>“第三章</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3.5.5 违背承诺的责任追究措施”，投标人承担相应法律责任及违约责任。给采购人及采购代理机构造成损失的，成交供应商应当予以赔偿。</w:t>
      </w:r>
    </w:p>
    <w:p w14:paraId="1BAD18D1">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7.6 </w:t>
      </w:r>
      <w:r>
        <w:rPr>
          <w:rFonts w:hint="eastAsia" w:ascii="黑体" w:hAnsi="黑体" w:eastAsia="黑体" w:cs="楷体_GB2312"/>
          <w:b/>
          <w:color w:val="auto"/>
          <w:sz w:val="24"/>
          <w:lang w:val="zh-CN"/>
        </w:rPr>
        <w:t>签订合同</w:t>
      </w:r>
    </w:p>
    <w:p w14:paraId="0324066A">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 xml:space="preserve">7.6.1 </w:t>
      </w:r>
      <w:r>
        <w:rPr>
          <w:rFonts w:hint="eastAsia" w:ascii="宋体" w:hAnsi="宋体" w:eastAsia="宋体" w:cs="楷体_GB2312"/>
          <w:sz w:val="24"/>
          <w:lang w:val="zh-CN"/>
        </w:rPr>
        <w:t>据优化营商环境精神，成交供应商应在《成交通知书》发出后1个工作日内，按照</w:t>
      </w:r>
      <w:r>
        <w:rPr>
          <w:rFonts w:hint="eastAsia" w:ascii="宋体" w:hAnsi="宋体" w:eastAsia="宋体" w:cs="楷体_GB2312"/>
          <w:sz w:val="24"/>
          <w:lang w:val="zh-CN" w:eastAsia="zh-CN"/>
        </w:rPr>
        <w:t>《谈判文件》</w:t>
      </w:r>
      <w:r>
        <w:rPr>
          <w:rFonts w:hint="eastAsia" w:ascii="宋体" w:hAnsi="宋体" w:eastAsia="宋体" w:cs="楷体_GB2312"/>
          <w:sz w:val="24"/>
          <w:lang w:val="zh-CN"/>
        </w:rPr>
        <w:t>确定的合同文本以及成交标的、技术和服务等事项与采购人签订书面政府采购合同。</w:t>
      </w:r>
    </w:p>
    <w:p w14:paraId="4D170392">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 xml:space="preserve">7.6.2 </w:t>
      </w:r>
      <w:r>
        <w:rPr>
          <w:rFonts w:hint="eastAsia" w:ascii="宋体" w:hAnsi="宋体" w:eastAsia="宋体" w:cs="楷体_GB2312"/>
          <w:sz w:val="24"/>
          <w:lang w:val="zh-CN"/>
        </w:rPr>
        <w:t>如成交供应商不按时签订合同、拒签合同的，取消其成交资格，依据</w:t>
      </w:r>
      <w:r>
        <w:rPr>
          <w:rFonts w:hint="eastAsia" w:ascii="宋体" w:hAnsi="宋体" w:eastAsia="宋体" w:cs="楷体_GB2312"/>
          <w:sz w:val="24"/>
          <w:lang w:val="zh-CN" w:eastAsia="zh-CN"/>
        </w:rPr>
        <w:t>《谈判文件》</w:t>
      </w:r>
      <w:r>
        <w:rPr>
          <w:rFonts w:hint="eastAsia" w:ascii="宋体" w:hAnsi="宋体" w:eastAsia="宋体" w:cs="楷体_GB2312"/>
          <w:sz w:val="24"/>
          <w:lang w:val="zh-CN"/>
        </w:rPr>
        <w:t>“第三章</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3.5.5 违背承诺的责任追究措施”，投标人承担相应法律责任及违约责任。给采购人造成损失的，成交供应商应当予以赔偿。</w:t>
      </w:r>
    </w:p>
    <w:p w14:paraId="467F7591">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7.6.3</w:t>
      </w:r>
      <w:r>
        <w:rPr>
          <w:rFonts w:hint="eastAsia" w:ascii="宋体" w:hAnsi="宋体" w:eastAsia="宋体" w:cs="楷体_GB2312"/>
          <w:sz w:val="24"/>
          <w:lang w:val="zh-CN"/>
        </w:rPr>
        <w:t xml:space="preserve"> 合同生效：成交供应商与采购人签订的合同，双方签字后盖章生效。采购人要在合同签订后1个工作日内登录安阳市政府采购网进行备案并公告。</w:t>
      </w:r>
    </w:p>
    <w:p w14:paraId="0FACF12C">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7.6.4</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《成交通知书》、</w:t>
      </w:r>
      <w:r>
        <w:rPr>
          <w:rFonts w:hint="eastAsia" w:ascii="宋体" w:hAnsi="宋体" w:eastAsia="宋体" w:cs="楷体_GB2312"/>
          <w:sz w:val="24"/>
          <w:lang w:val="zh-CN" w:eastAsia="zh-CN"/>
        </w:rPr>
        <w:t>《谈判文件》</w:t>
      </w:r>
      <w:r>
        <w:rPr>
          <w:rFonts w:hint="eastAsia" w:ascii="宋体" w:hAnsi="宋体" w:eastAsia="宋体" w:cs="楷体_GB2312"/>
          <w:sz w:val="24"/>
          <w:lang w:val="zh-CN"/>
        </w:rPr>
        <w:t>及其修改补充澄清、成交供应商的</w:t>
      </w:r>
      <w:r>
        <w:rPr>
          <w:rFonts w:hint="eastAsia" w:ascii="宋体" w:hAnsi="宋体" w:eastAsia="宋体" w:cs="楷体_GB2312"/>
          <w:sz w:val="24"/>
          <w:lang w:val="zh-CN" w:eastAsia="zh-CN"/>
        </w:rPr>
        <w:t>《响应文件》</w:t>
      </w:r>
      <w:r>
        <w:rPr>
          <w:rFonts w:hint="eastAsia" w:ascii="宋体" w:hAnsi="宋体" w:eastAsia="宋体" w:cs="楷体_GB2312"/>
          <w:sz w:val="24"/>
          <w:lang w:val="zh-CN"/>
        </w:rPr>
        <w:t>及其修改补充澄清等，均为签订合同的依据。所定合同不得对</w:t>
      </w:r>
      <w:r>
        <w:rPr>
          <w:rFonts w:hint="eastAsia" w:ascii="宋体" w:hAnsi="宋体" w:eastAsia="宋体" w:cs="楷体_GB2312"/>
          <w:sz w:val="24"/>
          <w:lang w:val="zh-CN" w:eastAsia="zh-CN"/>
        </w:rPr>
        <w:t>《谈判文件》</w:t>
      </w:r>
      <w:r>
        <w:rPr>
          <w:rFonts w:hint="eastAsia" w:ascii="宋体" w:hAnsi="宋体" w:eastAsia="宋体" w:cs="楷体_GB2312"/>
          <w:sz w:val="24"/>
          <w:lang w:val="zh-CN"/>
        </w:rPr>
        <w:t>和成交供应商的</w:t>
      </w:r>
      <w:r>
        <w:rPr>
          <w:rFonts w:hint="eastAsia" w:ascii="宋体" w:hAnsi="宋体" w:eastAsia="宋体" w:cs="楷体_GB2312"/>
          <w:sz w:val="24"/>
          <w:lang w:val="zh-CN" w:eastAsia="zh-CN"/>
        </w:rPr>
        <w:t>《响应文件》</w:t>
      </w:r>
      <w:r>
        <w:rPr>
          <w:rFonts w:hint="eastAsia" w:ascii="宋体" w:hAnsi="宋体" w:eastAsia="宋体" w:cs="楷体_GB2312"/>
          <w:sz w:val="24"/>
          <w:lang w:val="zh-CN"/>
        </w:rPr>
        <w:t>作实质性修改，采购人和成交供应商不得私下订立背离合同实质性内容的协议。</w:t>
      </w:r>
    </w:p>
    <w:p w14:paraId="7F140B1F">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 xml:space="preserve">7.6.5 </w:t>
      </w:r>
      <w:r>
        <w:rPr>
          <w:rFonts w:hint="eastAsia" w:ascii="宋体" w:hAnsi="宋体" w:eastAsia="宋体" w:cs="楷体_GB2312"/>
          <w:sz w:val="24"/>
          <w:lang w:val="zh-CN"/>
        </w:rPr>
        <w:t>评审会后，成交供应商、采购人之间擅自私下谈判、变更中标（成交）标的、价格及招投文件实质性内容的，有关部门将按《中华人民共和国政府采购法》及相关法规的规定处理。</w:t>
      </w:r>
    </w:p>
    <w:p w14:paraId="6D68417C">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7.6.</w:t>
      </w:r>
      <w:r>
        <w:rPr>
          <w:rFonts w:hint="eastAsia" w:ascii="宋体" w:hAnsi="宋体" w:eastAsia="宋体" w:cs="楷体_GB2312"/>
          <w:sz w:val="24"/>
          <w:lang w:val="zh-CN"/>
        </w:rPr>
        <w:t>6</w:t>
      </w:r>
      <w:r>
        <w:rPr>
          <w:rFonts w:ascii="宋体" w:hAnsi="宋体" w:eastAsia="宋体" w:cs="楷体_GB2312"/>
          <w:sz w:val="24"/>
          <w:lang w:val="zh-CN"/>
        </w:rPr>
        <w:t xml:space="preserve"> </w:t>
      </w:r>
      <w:r>
        <w:rPr>
          <w:rFonts w:hint="eastAsia" w:ascii="宋体" w:hAnsi="宋体" w:eastAsia="宋体" w:cs="楷体_GB2312"/>
          <w:sz w:val="24"/>
          <w:lang w:val="zh-CN"/>
        </w:rPr>
        <w:t>采购人与成交供应商签订《政府采购合同》后，合同履行中产生的纠纷、争议，由采购人与成交供应商按合同条款及《中华人民共和国民法典》处理。</w:t>
      </w:r>
    </w:p>
    <w:p w14:paraId="4CB5DFEC">
      <w:pPr>
        <w:widowControl w:val="0"/>
        <w:adjustRightInd w:val="0"/>
        <w:snapToGrid w:val="0"/>
        <w:spacing w:before="156" w:beforeLines="50" w:line="300" w:lineRule="auto"/>
        <w:ind w:firstLine="555"/>
        <w:rPr>
          <w:rFonts w:ascii="黑体" w:hAnsi="黑体" w:eastAsia="黑体" w:cs="楷体_GB2312"/>
          <w:b/>
          <w:sz w:val="24"/>
          <w:lang w:val="zh-CN"/>
        </w:rPr>
      </w:pPr>
      <w:r>
        <w:rPr>
          <w:rFonts w:ascii="黑体" w:hAnsi="黑体" w:eastAsia="黑体" w:cs="楷体_GB2312"/>
          <w:b/>
          <w:sz w:val="24"/>
          <w:lang w:val="zh-CN"/>
        </w:rPr>
        <w:t xml:space="preserve">7.7 </w:t>
      </w:r>
      <w:r>
        <w:rPr>
          <w:rFonts w:hint="eastAsia" w:ascii="黑体" w:hAnsi="黑体" w:eastAsia="黑体" w:cs="楷体_GB2312"/>
          <w:b/>
          <w:sz w:val="24"/>
          <w:lang w:val="zh-CN"/>
        </w:rPr>
        <w:t>合同补充变更</w:t>
      </w:r>
    </w:p>
    <w:p w14:paraId="64713A78">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 xml:space="preserve">7.7.1 </w:t>
      </w:r>
      <w:r>
        <w:rPr>
          <w:rFonts w:hint="eastAsia" w:ascii="宋体" w:hAnsi="宋体" w:eastAsia="宋体" w:cs="楷体_GB2312"/>
          <w:sz w:val="24"/>
          <w:lang w:val="zh-CN"/>
        </w:rPr>
        <w:t>政府采购合同履行中，采购人需追加与合同标的相同的货物、工程和服务的（即追加原合同标的数量），在不改变合同条款（包括原合同单价）的前提下，双方可以协商签订补充合同，但所有补充合同总金额不得超过原合同采购金额的</w:t>
      </w:r>
      <w:r>
        <w:rPr>
          <w:rFonts w:ascii="宋体" w:hAnsi="宋体" w:eastAsia="宋体" w:cs="楷体_GB2312"/>
          <w:sz w:val="24"/>
          <w:lang w:val="zh-CN"/>
        </w:rPr>
        <w:t>10%</w:t>
      </w:r>
      <w:r>
        <w:rPr>
          <w:rFonts w:hint="eastAsia" w:ascii="宋体" w:hAnsi="宋体" w:eastAsia="宋体" w:cs="楷体_GB2312"/>
          <w:sz w:val="24"/>
          <w:lang w:val="zh-CN"/>
        </w:rPr>
        <w:t>，不得调增原合同单价，不得超出项目预算，超过原合同采购金额的</w:t>
      </w:r>
      <w:r>
        <w:rPr>
          <w:rFonts w:ascii="宋体" w:hAnsi="宋体" w:eastAsia="宋体" w:cs="楷体_GB2312"/>
          <w:sz w:val="24"/>
          <w:lang w:val="zh-CN"/>
        </w:rPr>
        <w:t>10%</w:t>
      </w:r>
      <w:r>
        <w:rPr>
          <w:rFonts w:hint="eastAsia" w:ascii="宋体" w:hAnsi="宋体" w:eastAsia="宋体" w:cs="楷体_GB2312"/>
          <w:sz w:val="24"/>
          <w:lang w:val="zh-CN"/>
        </w:rPr>
        <w:t>，应重新组织采购活动。</w:t>
      </w:r>
    </w:p>
    <w:p w14:paraId="41B90379">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7.7.2</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采购人需追加的货物、工程和服务的金额达到</w:t>
      </w:r>
      <w:r>
        <w:rPr>
          <w:rFonts w:ascii="宋体" w:hAnsi="宋体" w:eastAsia="宋体" w:cs="楷体_GB2312"/>
          <w:sz w:val="24"/>
          <w:lang w:val="zh-CN"/>
        </w:rPr>
        <w:t>50</w:t>
      </w:r>
      <w:r>
        <w:rPr>
          <w:rFonts w:hint="eastAsia" w:ascii="宋体" w:hAnsi="宋体" w:eastAsia="宋体" w:cs="楷体_GB2312"/>
          <w:sz w:val="24"/>
          <w:lang w:val="zh-CN"/>
        </w:rPr>
        <w:t>万元以上（含</w:t>
      </w:r>
      <w:r>
        <w:rPr>
          <w:rFonts w:ascii="宋体" w:hAnsi="宋体" w:eastAsia="宋体" w:cs="楷体_GB2312"/>
          <w:sz w:val="24"/>
          <w:lang w:val="zh-CN"/>
        </w:rPr>
        <w:t>50</w:t>
      </w:r>
      <w:r>
        <w:rPr>
          <w:rFonts w:hint="eastAsia" w:ascii="宋体" w:hAnsi="宋体" w:eastAsia="宋体" w:cs="楷体_GB2312"/>
          <w:sz w:val="24"/>
          <w:lang w:val="zh-CN"/>
        </w:rPr>
        <w:t>万元）、且超过中标（成交）价</w:t>
      </w:r>
      <w:r>
        <w:rPr>
          <w:rFonts w:ascii="宋体" w:hAnsi="宋体" w:eastAsia="宋体" w:cs="楷体_GB2312"/>
          <w:sz w:val="24"/>
          <w:lang w:val="zh-CN"/>
        </w:rPr>
        <w:t>3%</w:t>
      </w:r>
      <w:r>
        <w:rPr>
          <w:rFonts w:hint="eastAsia" w:ascii="宋体" w:hAnsi="宋体" w:eastAsia="宋体" w:cs="楷体_GB2312"/>
          <w:sz w:val="24"/>
          <w:lang w:val="zh-CN"/>
        </w:rPr>
        <w:t>的，采购人应当自确定变更之日起</w:t>
      </w:r>
      <w:r>
        <w:rPr>
          <w:rFonts w:ascii="宋体" w:hAnsi="宋体" w:eastAsia="宋体" w:cs="楷体_GB2312"/>
          <w:sz w:val="24"/>
          <w:lang w:val="zh-CN"/>
        </w:rPr>
        <w:t>5</w:t>
      </w:r>
      <w:r>
        <w:rPr>
          <w:rFonts w:hint="eastAsia" w:ascii="宋体" w:hAnsi="宋体" w:eastAsia="宋体" w:cs="楷体_GB2312"/>
          <w:sz w:val="24"/>
          <w:lang w:val="zh-CN"/>
        </w:rPr>
        <w:t>个工作日内将变更情况及事由报送同级监察机关。</w:t>
      </w:r>
    </w:p>
    <w:p w14:paraId="5A715E99">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hint="eastAsia" w:ascii="宋体" w:hAnsi="宋体" w:eastAsia="宋体" w:cs="楷体_GB2312"/>
          <w:sz w:val="24"/>
          <w:lang w:val="zh-CN"/>
        </w:rPr>
        <w:t>采购项目在中标（成交）后经有关行政机关批准变更的，批准的行政机关应当自批准之日起</w:t>
      </w:r>
      <w:r>
        <w:rPr>
          <w:rFonts w:ascii="宋体" w:hAnsi="宋体" w:eastAsia="宋体" w:cs="楷体_GB2312"/>
          <w:sz w:val="24"/>
          <w:lang w:val="zh-CN"/>
        </w:rPr>
        <w:t>3</w:t>
      </w:r>
      <w:r>
        <w:rPr>
          <w:rFonts w:hint="eastAsia" w:ascii="宋体" w:hAnsi="宋体" w:eastAsia="宋体" w:cs="楷体_GB2312"/>
          <w:sz w:val="24"/>
          <w:lang w:val="zh-CN"/>
        </w:rPr>
        <w:t>个工作日内将批准文件抄送同级监察机关备案。</w:t>
      </w:r>
    </w:p>
    <w:p w14:paraId="2C1063E2">
      <w:pPr>
        <w:widowControl w:val="0"/>
        <w:adjustRightInd w:val="0"/>
        <w:snapToGrid w:val="0"/>
        <w:spacing w:before="156" w:beforeLines="50" w:line="300" w:lineRule="auto"/>
        <w:ind w:firstLine="555"/>
        <w:rPr>
          <w:color w:val="FF0000"/>
          <w:sz w:val="24"/>
          <w:szCs w:val="24"/>
        </w:rPr>
      </w:pPr>
    </w:p>
    <w:p w14:paraId="3F273F5B">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6" w:name="_Toc31331"/>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验收</w:t>
      </w:r>
      <w:bookmarkEnd w:id="36"/>
    </w:p>
    <w:p w14:paraId="2426E7A5">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8.1</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验收时间：项目具备验收条件时，由采购人成立验收工作组负责验收。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67228045">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8.2</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验收工作组：合同履约验收工作应成立验收工作组专门负责。</w:t>
      </w:r>
    </w:p>
    <w:p w14:paraId="4AD5CA31">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hint="eastAsia" w:ascii="宋体" w:hAnsi="宋体" w:eastAsia="宋体" w:cs="楷体_GB2312"/>
          <w:sz w:val="24"/>
          <w:lang w:val="zh-CN"/>
        </w:rPr>
        <w:t>直接参与该项目政府采购活动的主要负责人不得作为验收工作的主要负责人。对于采购人和使用人分离的采购项目，应当邀请实际使用人参与验收；政府向社会公众提供的公共服务项目，验收时应当邀请服务对象参与并出具意见，验收结果应当向社会公告。</w:t>
      </w:r>
    </w:p>
    <w:p w14:paraId="3E06FD69">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hint="eastAsia" w:ascii="宋体" w:hAnsi="宋体" w:eastAsia="宋体" w:cs="楷体_GB2312"/>
          <w:sz w:val="24"/>
          <w:lang w:val="zh-CN"/>
        </w:rPr>
        <w:t>8.2.1</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政府采购合同金额在10万元以下（含10万元）的项目，原则上可以不邀请评审专家参加，组织方成立验收小组自行验收。自行验收时，验收小组应仔细对照</w:t>
      </w:r>
      <w:r>
        <w:rPr>
          <w:rFonts w:hint="eastAsia" w:ascii="宋体" w:hAnsi="宋体" w:eastAsia="宋体" w:cs="楷体_GB2312"/>
          <w:sz w:val="24"/>
          <w:lang w:val="zh-CN" w:eastAsia="zh-CN"/>
        </w:rPr>
        <w:t>《谈判文件》</w:t>
      </w:r>
      <w:r>
        <w:rPr>
          <w:rFonts w:hint="eastAsia" w:ascii="宋体" w:hAnsi="宋体" w:eastAsia="宋体" w:cs="楷体_GB2312"/>
          <w:sz w:val="24"/>
          <w:lang w:val="zh-CN"/>
        </w:rPr>
        <w:t>及合同，对标的物的数量、质量、规格、型号等参数逐一核对，并编制验收报告。组织方认为不能独立完成验收任务的，可以邀请评审专家参与验收。</w:t>
      </w:r>
    </w:p>
    <w:p w14:paraId="40FB00A0">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hint="eastAsia" w:ascii="宋体" w:hAnsi="宋体" w:eastAsia="宋体" w:cs="楷体_GB2312"/>
          <w:sz w:val="24"/>
          <w:lang w:val="zh-CN"/>
        </w:rPr>
        <w:t>8.2.2</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政府采购合同金额50万元以下的（含50万元）的项目，验收工作组应不少于三人；政府采购合同金额50万元以上的项目，验收工作组应由采购人领导牵头，财务、审计、监察、资产管理、技术等部门人员参与，成员不少于五人。验收工作原则上应当邀请采购评审专家参加验收；大型、复杂或者技术性很强的政府采购项目，应当邀请国家认可的质量检测机构参加验收工作；国家规定强制性检测的采购项目，采购人必须委托国家认可专业检测机构进行验收。</w:t>
      </w:r>
    </w:p>
    <w:p w14:paraId="3FC47757">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hint="eastAsia" w:ascii="宋体" w:hAnsi="宋体" w:eastAsia="宋体" w:cs="楷体_GB2312"/>
          <w:sz w:val="24"/>
          <w:lang w:val="zh-CN"/>
        </w:rPr>
        <w:t>8.3</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验收时，验收小组按照采购合同的约定对每一项技术、服务、安全标准的履约情况进行确认。验收时需要进行破坏性试验的，供应商应进行充分的配合并提供备品备件。</w:t>
      </w:r>
    </w:p>
    <w:p w14:paraId="5885632A">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8.</w:t>
      </w:r>
      <w:r>
        <w:rPr>
          <w:rFonts w:hint="eastAsia" w:ascii="宋体" w:hAnsi="宋体" w:eastAsia="宋体" w:cs="楷体_GB2312"/>
          <w:sz w:val="24"/>
          <w:lang w:val="zh-CN"/>
        </w:rPr>
        <w:t>4</w:t>
      </w:r>
      <w:r>
        <w:rPr>
          <w:rFonts w:ascii="宋体" w:hAnsi="宋体" w:eastAsia="宋体" w:cs="楷体_GB2312"/>
          <w:sz w:val="24"/>
          <w:lang w:val="zh-CN"/>
        </w:rPr>
        <w:t xml:space="preserve"> </w:t>
      </w:r>
      <w:r>
        <w:rPr>
          <w:rFonts w:hint="eastAsia" w:ascii="宋体" w:hAnsi="宋体" w:eastAsia="宋体" w:cs="楷体_GB2312"/>
          <w:sz w:val="24"/>
          <w:lang w:val="zh-CN"/>
        </w:rPr>
        <w:t>验收报告：验收后，由采购人及专家等出具验收报告（自行验收的，由采购人出具），国家规定强制性检测的采购项目应附国家认可的专业检测机构出具的验收报告。</w:t>
      </w:r>
    </w:p>
    <w:p w14:paraId="2B800D60">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hint="eastAsia" w:ascii="宋体" w:hAnsi="宋体" w:eastAsia="宋体" w:cs="楷体_GB2312"/>
          <w:sz w:val="24"/>
          <w:lang w:val="zh-CN"/>
        </w:rPr>
        <w:t>8.5</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24B203FC">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hint="eastAsia" w:ascii="宋体" w:hAnsi="宋体" w:eastAsia="宋体" w:cs="楷体_GB2312"/>
          <w:sz w:val="24"/>
          <w:lang w:val="zh-CN"/>
        </w:rPr>
        <w:t>8.6 验收公告的时限：采购人要在政府采购项目验收完成后1个工作日内登录安阳市政府采购网进行验收公告。</w:t>
      </w:r>
    </w:p>
    <w:p w14:paraId="64462BF8">
      <w:pPr>
        <w:widowControl w:val="0"/>
        <w:adjustRightInd w:val="0"/>
        <w:snapToGrid w:val="0"/>
        <w:spacing w:before="156" w:beforeLines="50" w:line="300" w:lineRule="auto"/>
        <w:ind w:firstLine="561"/>
        <w:rPr>
          <w:rFonts w:ascii="宋体" w:cs="楷体_GB2312"/>
          <w:color w:val="auto"/>
          <w:sz w:val="24"/>
          <w:lang w:val="zh-CN"/>
        </w:rPr>
      </w:pPr>
    </w:p>
    <w:p w14:paraId="0061293D">
      <w:pPr>
        <w:widowControl w:val="0"/>
        <w:numPr>
          <w:ilvl w:val="0"/>
          <w:numId w:val="1"/>
        </w:numPr>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7" w:name="_Toc7767"/>
      <w:r>
        <w:rPr>
          <w:rFonts w:hint="eastAsia" w:ascii="黑体" w:hAnsi="黑体" w:eastAsia="黑体" w:cs="楷体_GB2312"/>
          <w:b/>
          <w:bCs/>
          <w:color w:val="auto"/>
          <w:sz w:val="28"/>
          <w:szCs w:val="28"/>
          <w:lang w:val="zh-CN"/>
        </w:rPr>
        <w:t>付款</w:t>
      </w:r>
      <w:bookmarkEnd w:id="37"/>
    </w:p>
    <w:p w14:paraId="63BDAD1A">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hint="eastAsia" w:ascii="宋体" w:hAnsi="宋体" w:eastAsia="宋体" w:cs="楷体_GB2312"/>
          <w:sz w:val="24"/>
          <w:lang w:val="zh-CN"/>
        </w:rPr>
        <w:t>见投标人须知前附表。</w:t>
      </w:r>
    </w:p>
    <w:p w14:paraId="798B1F54">
      <w:pPr>
        <w:widowControl w:val="0"/>
        <w:adjustRightInd w:val="0"/>
        <w:snapToGrid w:val="0"/>
        <w:spacing w:before="156" w:beforeLines="50" w:line="300" w:lineRule="auto"/>
        <w:ind w:firstLine="561"/>
        <w:rPr>
          <w:rFonts w:ascii="黑体" w:hAnsi="黑体" w:eastAsia="黑体" w:cs="楷体_GB2312"/>
          <w:b/>
          <w:bCs/>
          <w:color w:val="auto"/>
          <w:sz w:val="28"/>
          <w:szCs w:val="28"/>
          <w:lang w:val="zh-CN"/>
        </w:rPr>
      </w:pPr>
    </w:p>
    <w:p w14:paraId="0C28F0FF">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8" w:name="_Toc29037"/>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其他</w:t>
      </w:r>
      <w:bookmarkEnd w:id="38"/>
    </w:p>
    <w:p w14:paraId="60F8A73E">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 xml:space="preserve">10.1 </w:t>
      </w:r>
      <w:r>
        <w:rPr>
          <w:rFonts w:hint="eastAsia" w:ascii="宋体" w:hAnsi="宋体" w:eastAsia="宋体" w:cs="楷体_GB2312"/>
          <w:sz w:val="24"/>
          <w:lang w:val="zh-CN"/>
        </w:rPr>
        <w:t>中标服务费等：见投标人须知前附表。</w:t>
      </w:r>
    </w:p>
    <w:p w14:paraId="03EBF7CB">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 xml:space="preserve">10.2 </w:t>
      </w:r>
      <w:r>
        <w:rPr>
          <w:rFonts w:hint="eastAsia" w:ascii="宋体" w:hAnsi="宋体" w:eastAsia="宋体" w:cs="楷体_GB2312"/>
          <w:sz w:val="24"/>
          <w:lang w:val="zh-CN"/>
        </w:rPr>
        <w:t>同义解释。《谈判文件》中：“投标”同义“提交《响应文件》”，“投标人”同义“提交《响应文件》的供应商”，“《</w:t>
      </w:r>
      <w:r>
        <w:rPr>
          <w:rFonts w:hint="eastAsia" w:ascii="宋体" w:hAnsi="宋体" w:eastAsia="宋体" w:cs="楷体_GB2312"/>
          <w:sz w:val="24"/>
          <w:lang w:val="en-US" w:eastAsia="zh-CN"/>
        </w:rPr>
        <w:t>投标</w:t>
      </w:r>
      <w:r>
        <w:rPr>
          <w:rFonts w:hint="eastAsia" w:ascii="宋体" w:hAnsi="宋体" w:eastAsia="宋体" w:cs="楷体_GB2312"/>
          <w:sz w:val="24"/>
          <w:lang w:val="zh-CN"/>
        </w:rPr>
        <w:t>文件》”同义“《响应文件》”，“开标”同义“《响应文件》的开启”，“中标”同义“成交”，“中标</w:t>
      </w:r>
      <w:r>
        <w:rPr>
          <w:rFonts w:hint="eastAsia" w:ascii="宋体" w:hAnsi="宋体" w:eastAsia="宋体" w:cs="楷体_GB2312"/>
          <w:sz w:val="24"/>
          <w:lang w:val="en-US" w:eastAsia="zh-CN"/>
        </w:rPr>
        <w:t>人</w:t>
      </w:r>
      <w:r>
        <w:rPr>
          <w:rFonts w:hint="eastAsia" w:ascii="宋体" w:hAnsi="宋体" w:eastAsia="宋体" w:cs="楷体_GB2312"/>
          <w:sz w:val="24"/>
          <w:lang w:val="zh-CN"/>
        </w:rPr>
        <w:t>”同义“成交供应商”。</w:t>
      </w:r>
    </w:p>
    <w:p w14:paraId="58D69BE3">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 xml:space="preserve">10.3 </w:t>
      </w:r>
      <w:r>
        <w:rPr>
          <w:rFonts w:hint="eastAsia" w:ascii="宋体" w:hAnsi="宋体" w:eastAsia="宋体" w:cs="楷体_GB2312"/>
          <w:sz w:val="24"/>
          <w:lang w:val="zh-CN"/>
        </w:rPr>
        <w:t>投标人资格条件中包含非法人单位的，《谈判文件》中法定代表人一词相应包含表示证照标示的负责人；</w:t>
      </w:r>
      <w:r>
        <w:rPr>
          <w:rFonts w:ascii="宋体" w:hAnsi="宋体" w:eastAsia="宋体" w:cs="楷体_GB2312"/>
          <w:sz w:val="24"/>
          <w:lang w:val="zh-CN"/>
        </w:rPr>
        <w:t xml:space="preserve"> </w:t>
      </w:r>
      <w:r>
        <w:rPr>
          <w:rFonts w:hint="eastAsia" w:ascii="宋体" w:hAnsi="宋体" w:eastAsia="宋体" w:cs="楷体_GB2312"/>
          <w:sz w:val="24"/>
          <w:lang w:val="zh-CN"/>
        </w:rPr>
        <w:t>投标人资格条件中包含自然人的，《谈判文件》中法定代表人一词相应包含表示自然人，自然人应由其本人签署《响应文件》、参加投标，不应再授权他人。</w:t>
      </w:r>
    </w:p>
    <w:p w14:paraId="34880E27">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ascii="宋体" w:hAnsi="宋体" w:eastAsia="宋体" w:cs="楷体_GB2312"/>
          <w:sz w:val="24"/>
          <w:lang w:val="zh-CN"/>
        </w:rPr>
        <w:t>10.4</w:t>
      </w:r>
      <w:r>
        <w:rPr>
          <w:rFonts w:hint="eastAsia" w:ascii="宋体" w:hAnsi="宋体" w:eastAsia="宋体" w:cs="楷体_GB2312"/>
          <w:sz w:val="24"/>
          <w:lang w:val="en-US" w:eastAsia="zh-CN"/>
        </w:rPr>
        <w:t xml:space="preserve"> </w:t>
      </w:r>
      <w:r>
        <w:rPr>
          <w:rFonts w:hint="eastAsia" w:ascii="宋体" w:hAnsi="宋体" w:eastAsia="宋体" w:cs="楷体_GB2312"/>
          <w:sz w:val="24"/>
          <w:lang w:val="zh-CN"/>
        </w:rPr>
        <w:t>《谈判文件》第一章至第四章各章中，用序号标示条、款、项、目，例如：</w:t>
      </w:r>
      <w:r>
        <w:rPr>
          <w:rFonts w:ascii="宋体" w:hAnsi="宋体" w:eastAsia="宋体" w:cs="楷体_GB2312"/>
          <w:sz w:val="24"/>
          <w:lang w:val="zh-CN"/>
        </w:rPr>
        <w:t>1</w:t>
      </w:r>
      <w:r>
        <w:rPr>
          <w:rFonts w:hint="eastAsia" w:ascii="宋体" w:hAnsi="宋体" w:eastAsia="宋体" w:cs="楷体_GB2312"/>
          <w:sz w:val="24"/>
          <w:lang w:val="zh-CN"/>
        </w:rPr>
        <w:t>为第</w:t>
      </w:r>
      <w:r>
        <w:rPr>
          <w:rFonts w:ascii="宋体" w:hAnsi="宋体" w:eastAsia="宋体" w:cs="楷体_GB2312"/>
          <w:sz w:val="24"/>
          <w:lang w:val="zh-CN"/>
        </w:rPr>
        <w:t xml:space="preserve">1 </w:t>
      </w:r>
      <w:r>
        <w:rPr>
          <w:rFonts w:hint="eastAsia" w:ascii="宋体" w:hAnsi="宋体" w:eastAsia="宋体" w:cs="楷体_GB2312"/>
          <w:sz w:val="24"/>
          <w:lang w:val="zh-CN"/>
        </w:rPr>
        <w:t>条，</w:t>
      </w:r>
      <w:r>
        <w:rPr>
          <w:rFonts w:ascii="宋体" w:hAnsi="宋体" w:eastAsia="宋体" w:cs="楷体_GB2312"/>
          <w:sz w:val="24"/>
          <w:lang w:val="zh-CN"/>
        </w:rPr>
        <w:t>1.1</w:t>
      </w:r>
      <w:r>
        <w:rPr>
          <w:rFonts w:hint="eastAsia" w:ascii="宋体" w:hAnsi="宋体" w:eastAsia="宋体" w:cs="楷体_GB2312"/>
          <w:sz w:val="24"/>
          <w:lang w:val="zh-CN"/>
        </w:rPr>
        <w:t>为第</w:t>
      </w:r>
      <w:r>
        <w:rPr>
          <w:rFonts w:ascii="宋体" w:hAnsi="宋体" w:eastAsia="宋体" w:cs="楷体_GB2312"/>
          <w:sz w:val="24"/>
          <w:lang w:val="zh-CN"/>
        </w:rPr>
        <w:t>1</w:t>
      </w:r>
      <w:r>
        <w:rPr>
          <w:rFonts w:hint="eastAsia" w:ascii="宋体" w:hAnsi="宋体" w:eastAsia="宋体" w:cs="楷体_GB2312"/>
          <w:sz w:val="24"/>
          <w:lang w:val="zh-CN"/>
        </w:rPr>
        <w:t>条第</w:t>
      </w:r>
      <w:r>
        <w:rPr>
          <w:rFonts w:ascii="宋体" w:hAnsi="宋体" w:eastAsia="宋体" w:cs="楷体_GB2312"/>
          <w:sz w:val="24"/>
          <w:lang w:val="zh-CN"/>
        </w:rPr>
        <w:t>1</w:t>
      </w:r>
      <w:r>
        <w:rPr>
          <w:rFonts w:hint="eastAsia" w:ascii="宋体" w:hAnsi="宋体" w:eastAsia="宋体" w:cs="楷体_GB2312"/>
          <w:sz w:val="24"/>
          <w:lang w:val="zh-CN"/>
        </w:rPr>
        <w:t>款（简称</w:t>
      </w:r>
      <w:r>
        <w:rPr>
          <w:rFonts w:ascii="宋体" w:hAnsi="宋体" w:eastAsia="宋体" w:cs="楷体_GB2312"/>
          <w:sz w:val="24"/>
          <w:lang w:val="zh-CN"/>
        </w:rPr>
        <w:t>1.1</w:t>
      </w:r>
      <w:r>
        <w:rPr>
          <w:rFonts w:hint="eastAsia" w:ascii="宋体" w:hAnsi="宋体" w:eastAsia="宋体" w:cs="楷体_GB2312"/>
          <w:sz w:val="24"/>
          <w:lang w:val="zh-CN"/>
        </w:rPr>
        <w:t>款），</w:t>
      </w:r>
      <w:r>
        <w:rPr>
          <w:rFonts w:ascii="宋体" w:hAnsi="宋体" w:eastAsia="宋体" w:cs="楷体_GB2312"/>
          <w:sz w:val="24"/>
          <w:lang w:val="zh-CN"/>
        </w:rPr>
        <w:t>1.1.1</w:t>
      </w:r>
      <w:r>
        <w:rPr>
          <w:rFonts w:hint="eastAsia" w:ascii="宋体" w:hAnsi="宋体" w:eastAsia="宋体" w:cs="楷体_GB2312"/>
          <w:sz w:val="24"/>
          <w:lang w:val="zh-CN"/>
        </w:rPr>
        <w:t>为第</w:t>
      </w:r>
      <w:r>
        <w:rPr>
          <w:rFonts w:ascii="宋体" w:hAnsi="宋体" w:eastAsia="宋体" w:cs="楷体_GB2312"/>
          <w:sz w:val="24"/>
          <w:lang w:val="zh-CN"/>
        </w:rPr>
        <w:t>1</w:t>
      </w:r>
      <w:r>
        <w:rPr>
          <w:rFonts w:hint="eastAsia" w:ascii="宋体" w:hAnsi="宋体" w:eastAsia="宋体" w:cs="楷体_GB2312"/>
          <w:sz w:val="24"/>
          <w:lang w:val="zh-CN"/>
        </w:rPr>
        <w:t>条第</w:t>
      </w:r>
      <w:r>
        <w:rPr>
          <w:rFonts w:ascii="宋体" w:hAnsi="宋体" w:eastAsia="宋体" w:cs="楷体_GB2312"/>
          <w:sz w:val="24"/>
          <w:lang w:val="zh-CN"/>
        </w:rPr>
        <w:t>1</w:t>
      </w:r>
      <w:r>
        <w:rPr>
          <w:rFonts w:hint="eastAsia" w:ascii="宋体" w:hAnsi="宋体" w:eastAsia="宋体" w:cs="楷体_GB2312"/>
          <w:sz w:val="24"/>
          <w:lang w:val="zh-CN"/>
        </w:rPr>
        <w:t>款第</w:t>
      </w:r>
      <w:r>
        <w:rPr>
          <w:rFonts w:ascii="宋体" w:hAnsi="宋体" w:eastAsia="宋体" w:cs="楷体_GB2312"/>
          <w:sz w:val="24"/>
          <w:lang w:val="zh-CN"/>
        </w:rPr>
        <w:t>1</w:t>
      </w:r>
      <w:r>
        <w:rPr>
          <w:rFonts w:hint="eastAsia" w:ascii="宋体" w:hAnsi="宋体" w:eastAsia="宋体" w:cs="楷体_GB2312"/>
          <w:sz w:val="24"/>
          <w:lang w:val="zh-CN"/>
        </w:rPr>
        <w:t>项（简称</w:t>
      </w:r>
      <w:r>
        <w:rPr>
          <w:rFonts w:ascii="宋体" w:hAnsi="宋体" w:eastAsia="宋体" w:cs="楷体_GB2312"/>
          <w:sz w:val="24"/>
          <w:lang w:val="zh-CN"/>
        </w:rPr>
        <w:t>1.1.1</w:t>
      </w:r>
      <w:r>
        <w:rPr>
          <w:rFonts w:hint="eastAsia" w:ascii="宋体" w:hAnsi="宋体" w:eastAsia="宋体" w:cs="楷体_GB2312"/>
          <w:sz w:val="24"/>
          <w:lang w:val="zh-CN"/>
        </w:rPr>
        <w:t>项）。“条”包含款、项、目；“款”包含项、目；“项”包含目。</w:t>
      </w:r>
    </w:p>
    <w:p w14:paraId="471CA198">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lang w:val="zh-CN"/>
        </w:rPr>
      </w:pPr>
    </w:p>
    <w:p w14:paraId="5C266B87">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9" w:name="_Toc58858635"/>
      <w:bookmarkStart w:id="40" w:name="_Toc3526"/>
      <w:r>
        <w:rPr>
          <w:rFonts w:hint="eastAsia" w:ascii="黑体" w:hAnsi="黑体" w:eastAsia="黑体" w:cs="楷体_GB2312"/>
          <w:b/>
          <w:bCs/>
          <w:color w:val="auto"/>
          <w:sz w:val="28"/>
          <w:szCs w:val="28"/>
          <w:lang w:val="zh-CN"/>
        </w:rPr>
        <w:t>11. 河南省政府采购合同融资政策告知函</w:t>
      </w:r>
      <w:bookmarkEnd w:id="39"/>
      <w:bookmarkEnd w:id="40"/>
    </w:p>
    <w:p w14:paraId="5D304E1B">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hint="eastAsia" w:ascii="宋体" w:hAnsi="宋体" w:eastAsia="宋体" w:cs="楷体_GB2312"/>
          <w:sz w:val="24"/>
          <w:lang w:val="zh-CN"/>
        </w:rPr>
        <w:t>各供应商：</w:t>
      </w:r>
    </w:p>
    <w:p w14:paraId="63BE6301">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hint="eastAsia" w:ascii="宋体" w:hAnsi="宋体" w:eastAsia="宋体" w:cs="楷体_GB2312"/>
          <w:sz w:val="24"/>
          <w:lang w:val="zh-CN"/>
        </w:rPr>
        <w:t>欢迎贵公司参与河南省政府采购活动！</w:t>
      </w:r>
    </w:p>
    <w:p w14:paraId="73938D5A">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hint="eastAsia" w:ascii="宋体" w:hAnsi="宋体" w:eastAsia="宋体" w:cs="楷体_GB2312"/>
          <w:sz w:val="24"/>
          <w:lang w:val="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DACD5DE">
      <w:pPr>
        <w:autoSpaceDE w:val="0"/>
        <w:autoSpaceDN w:val="0"/>
        <w:adjustRightInd w:val="0"/>
        <w:snapToGrid w:val="0"/>
        <w:spacing w:before="156" w:beforeLines="50" w:line="300" w:lineRule="auto"/>
        <w:ind w:firstLine="539"/>
        <w:rPr>
          <w:rFonts w:ascii="宋体" w:hAnsi="宋体" w:eastAsia="宋体" w:cs="楷体_GB2312"/>
          <w:sz w:val="24"/>
          <w:lang w:val="zh-CN"/>
        </w:rPr>
      </w:pPr>
      <w:r>
        <w:rPr>
          <w:rFonts w:hint="eastAsia" w:ascii="宋体" w:hAnsi="宋体" w:eastAsia="宋体" w:cs="楷体_GB2312"/>
          <w:sz w:val="24"/>
          <w:lang w:val="zh-CN"/>
        </w:rPr>
        <w:t>贷款渠道和提供贷款的金融机构，可在河南省政府采购网“河南省政府采购合同融资平台”查询联系。</w:t>
      </w:r>
    </w:p>
    <w:p w14:paraId="14E45603">
      <w:pPr>
        <w:keepNext w:val="0"/>
        <w:keepLines w:val="0"/>
        <w:pageBreakBefore w:val="0"/>
        <w:widowControl w:val="0"/>
        <w:kinsoku/>
        <w:wordWrap/>
        <w:overflowPunct/>
        <w:topLinePunct w:val="0"/>
        <w:autoSpaceDE w:val="0"/>
        <w:autoSpaceDN w:val="0"/>
        <w:bidi w:val="0"/>
        <w:adjustRightInd w:val="0"/>
        <w:snapToGrid/>
        <w:spacing w:line="276" w:lineRule="auto"/>
        <w:jc w:val="left"/>
        <w:textAlignment w:val="auto"/>
        <w:rPr>
          <w:rFonts w:ascii="宋体"/>
          <w:b/>
          <w:bCs/>
          <w:sz w:val="24"/>
        </w:rPr>
      </w:pPr>
      <w:permStart w:id="0" w:edGrp="everyone"/>
      <w:permEnd w:id="0"/>
      <w:bookmarkStart w:id="41" w:name="_GoBack"/>
      <w:bookmarkEnd w:id="41"/>
    </w:p>
    <w:sectPr>
      <w:pgSz w:w="11905" w:h="16837"/>
      <w:pgMar w:top="1091" w:right="1106" w:bottom="993" w:left="1418" w:header="567" w:footer="567"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82799">
    <w:pPr>
      <w:widowControl w:val="0"/>
      <w:snapToGrid w:val="0"/>
      <w:spacing w:line="240" w:lineRule="atLeast"/>
      <w:ind w:right="21"/>
      <w:jc w:val="left"/>
      <w:rPr>
        <w:rFonts w:ascii="宋体" w:hAnsi="宋体"/>
        <w:szCs w:val="21"/>
        <w:u w:val="single"/>
      </w:rPr>
    </w:pPr>
    <w:r>
      <w:rPr>
        <w:rFonts w:hint="eastAsia" w:ascii="宋体" w:hAnsi="宋体"/>
        <w:szCs w:val="21"/>
        <w:u w:val="single"/>
        <w:lang w:eastAsia="zh-CN"/>
      </w:rPr>
      <w:t>《谈判文件》</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fldChar w:fldCharType="begin"/>
    </w:r>
    <w:r>
      <w:rPr>
        <w:rFonts w:hint="eastAsia" w:asciiTheme="minorEastAsia" w:hAnsiTheme="minorEastAsia" w:eastAsiaTheme="minorEastAsia" w:cstheme="minorEastAsia"/>
        <w:szCs w:val="21"/>
        <w:u w:val="single"/>
      </w:rPr>
      <w:instrText xml:space="preserve"> NUMPAGES-1 \* MERGEFORMAT </w:instrText>
    </w:r>
    <w:r>
      <w:rPr>
        <w:rFonts w:hint="eastAsia" w:asciiTheme="minorEastAsia" w:hAnsiTheme="minorEastAsia" w:eastAsiaTheme="minorEastAsia" w:cstheme="minorEastAsia"/>
        <w:szCs w:val="21"/>
        <w:u w:val="single"/>
      </w:rPr>
      <w:fldChar w:fldCharType="end"/>
    </w:r>
    <w:r>
      <w:rPr>
        <w:rFonts w:hint="eastAsia" w:asciiTheme="minorEastAsia" w:hAnsiTheme="minorEastAsia" w:eastAsiaTheme="minorEastAsia" w:cstheme="minorEastAsia"/>
        <w:szCs w:val="21"/>
        <w:u w:val="single"/>
      </w:rPr>
      <w:fldChar w:fldCharType="begin"/>
    </w:r>
    <w:r>
      <w:rPr>
        <w:rFonts w:hint="eastAsia" w:asciiTheme="minorEastAsia" w:hAnsiTheme="minorEastAsia" w:eastAsiaTheme="minorEastAsia" w:cstheme="minorEastAsia"/>
        <w:szCs w:val="21"/>
        <w:u w:val="single"/>
      </w:rPr>
      <w:instrText xml:space="preserve">NUMPAGES-1\* Arabic \* MERGEFORMAT</w:instrText>
    </w:r>
    <w:r>
      <w:rPr>
        <w:rFonts w:hint="eastAsia" w:asciiTheme="minorEastAsia" w:hAnsiTheme="minorEastAsia" w:eastAsiaTheme="minorEastAsia" w:cstheme="minorEastAsia"/>
        <w:szCs w:val="21"/>
        <w:u w:val="single"/>
      </w:rPr>
      <w:fldChar w:fldCharType="end"/>
    </w:r>
    <w:r>
      <w:rPr>
        <w:rFonts w:hint="eastAsia" w:asciiTheme="minorEastAsia" w:hAnsiTheme="minorEastAsia" w:eastAsiaTheme="minorEastAsia" w:cstheme="minorEastAsia"/>
        <w:szCs w:val="21"/>
        <w:u w:val="single"/>
      </w:rPr>
      <w:fldChar w:fldCharType="begin"/>
    </w:r>
    <w:r>
      <w:rPr>
        <w:rFonts w:hint="eastAsia" w:asciiTheme="minorEastAsia" w:hAnsiTheme="minorEastAsia" w:eastAsiaTheme="minorEastAsia" w:cstheme="minorEastAsia"/>
        <w:szCs w:val="21"/>
        <w:u w:val="single"/>
      </w:rPr>
      <w:instrText xml:space="preserve"> NUMPAGES-1   \* MERGEFORMAT </w:instrText>
    </w:r>
    <w:r>
      <w:rPr>
        <w:rFonts w:hint="eastAsia" w:asciiTheme="minorEastAsia" w:hAnsiTheme="minorEastAsia" w:eastAsiaTheme="minorEastAsia" w:cstheme="minorEastAsia"/>
        <w:szCs w:val="21"/>
        <w:u w:val="single"/>
      </w:rPr>
      <w:fldChar w:fldCharType="end"/>
    </w:r>
    <w:r>
      <w:rPr>
        <w:rStyle w:val="20"/>
        <w:rFonts w:hint="eastAsia" w:asciiTheme="minorEastAsia" w:hAnsiTheme="minorEastAsia" w:eastAsiaTheme="minorEastAsia" w:cstheme="minorEastAsia"/>
        <w:szCs w:val="21"/>
        <w:u w:val="single"/>
      </w:rPr>
      <w:fldChar w:fldCharType="begin"/>
    </w:r>
    <w:r>
      <w:rPr>
        <w:rStyle w:val="20"/>
        <w:rFonts w:hint="eastAsia" w:asciiTheme="minorEastAsia" w:hAnsiTheme="minorEastAsia" w:eastAsiaTheme="minorEastAsia" w:cstheme="minorEastAsia"/>
        <w:szCs w:val="21"/>
        <w:u w:val="single"/>
      </w:rPr>
      <w:instrText xml:space="preserve"> PAGE </w:instrText>
    </w:r>
    <w:r>
      <w:rPr>
        <w:rStyle w:val="20"/>
        <w:rFonts w:hint="eastAsia" w:asciiTheme="minorEastAsia" w:hAnsiTheme="minorEastAsia" w:eastAsiaTheme="minorEastAsia" w:cstheme="minorEastAsia"/>
        <w:szCs w:val="21"/>
        <w:u w:val="single"/>
      </w:rPr>
      <w:fldChar w:fldCharType="separate"/>
    </w:r>
    <w:r>
      <w:rPr>
        <w:rStyle w:val="20"/>
        <w:rFonts w:hint="eastAsia" w:asciiTheme="minorEastAsia" w:hAnsiTheme="minorEastAsia" w:eastAsiaTheme="minorEastAsia" w:cstheme="minorEastAsia"/>
        <w:szCs w:val="21"/>
        <w:u w:val="single"/>
      </w:rPr>
      <w:t>- 2 -</w:t>
    </w:r>
    <w:r>
      <w:rPr>
        <w:rStyle w:val="20"/>
        <w:rFonts w:hint="eastAsia" w:asciiTheme="minorEastAsia" w:hAnsiTheme="minorEastAsia" w:eastAsiaTheme="minorEastAsia" w:cstheme="minorEastAsia"/>
        <w:szCs w:val="21"/>
        <w:u w:val="single"/>
      </w:rPr>
      <w:fldChar w:fldCharType="end"/>
    </w:r>
    <w:r>
      <w:rPr>
        <w:rStyle w:val="20"/>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共</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SECTIONPAGES   \* MERGEFORMAT </w:instrText>
    </w:r>
    <w:r>
      <w:rPr>
        <w:rFonts w:hint="eastAsia" w:asciiTheme="minorEastAsia" w:hAnsiTheme="minorEastAsia" w:eastAsiaTheme="minorEastAsia" w:cstheme="minorEastAsia"/>
      </w:rPr>
      <w:fldChar w:fldCharType="separate"/>
    </w:r>
    <w:r>
      <w:rPr>
        <w:rStyle w:val="20"/>
        <w:rFonts w:hint="eastAsia" w:asciiTheme="minorEastAsia" w:hAnsiTheme="minorEastAsia" w:eastAsiaTheme="minorEastAsia" w:cstheme="minorEastAsia"/>
        <w:szCs w:val="21"/>
        <w:u w:val="single"/>
      </w:rPr>
      <w:t>71</w:t>
    </w:r>
    <w:r>
      <w:rPr>
        <w:rStyle w:val="20"/>
        <w:rFonts w:hint="eastAsia" w:asciiTheme="minorEastAsia" w:hAnsiTheme="minorEastAsia" w:eastAsiaTheme="minorEastAsia" w:cstheme="minorEastAsia"/>
        <w:szCs w:val="21"/>
        <w:u w:val="single"/>
      </w:rPr>
      <w:fldChar w:fldCharType="end"/>
    </w:r>
    <w:r>
      <w:rPr>
        <w:rFonts w:hint="eastAsia" w:asciiTheme="minorEastAsia" w:hAnsiTheme="minorEastAsia" w:eastAsiaTheme="minorEastAsia" w:cstheme="minorEastAsia"/>
        <w:szCs w:val="21"/>
        <w:u w:val="single"/>
      </w:rPr>
      <w:t>页)</w:t>
    </w:r>
    <w:r>
      <w:rPr>
        <w:rFonts w:ascii="宋体" w:hAnsi="宋体"/>
      </w:rPr>
      <w:pict>
        <v:shape id="_x0000_s4098" o:spid="_x0000_s4098" o:spt="202" type="#_x0000_t202" style="position:absolute;left:0pt;margin-left:70.85pt;margin-top:799.35pt;height:14.15pt;width:453.5pt;mso-position-horizontal-relative:page;mso-position-vertical-relative:page;z-index:-251656192;mso-width-relative:page;mso-height-relative:page;" filled="f" o:preferrelative="t" stroked="f" coordsize="21600,21600" o:allowincell="f">
          <v:path/>
          <v:fill on="f" opacity="0f" focussize="0,0"/>
          <v:stroke on="f" joinstyle="miter"/>
          <v:imagedata o:title=""/>
          <o:lock v:ext="edit"/>
          <v:textbox inset="0mm,0mm,0mm,0mm">
            <w:txbxContent>
              <w:p w14:paraId="29BA6367"/>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E1A85">
    <w:pPr>
      <w:pStyle w:val="9"/>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14:paraId="3645D52E">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CA4FC">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3AB59">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w:t>
    </w:r>
    <w:r>
      <w:rPr>
        <w:rFonts w:ascii="宋体" w:hAnsi="宋体"/>
      </w:rPr>
      <w:pict>
        <v:shape id="Text Box 1" o:spid="_x0000_s4097" o:spt="202" type="#_x0000_t202" style="position:absolute;left:0pt;margin-left:70.85pt;margin-top:28.3pt;height:14.15pt;width:453.5pt;mso-position-horizontal-relative:page;mso-position-vertical-relative:page;z-index:-251657216;mso-width-relative:page;mso-height-relative:page;" filled="f" o:preferrelative="t" stroked="f" coordsize="21600,21600" o:allowincell="f">
          <v:path/>
          <v:fill on="f" opacity="0f" focussize="0,0"/>
          <v:stroke on="f" joinstyle="miter"/>
          <v:imagedata o:title=""/>
          <o:lock v:ext="edit"/>
          <v:textbox inset="0mm,0mm,0mm,0mm">
            <w:txbxContent>
              <w:p w14:paraId="2A98A43A"/>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D240F"/>
    <w:multiLevelType w:val="singleLevel"/>
    <w:tmpl w:val="6ACD240F"/>
    <w:lvl w:ilvl="0" w:tentative="0">
      <w:start w:val="9"/>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dit="readOnly" w:formatting="1" w:enforcement="1" w:cryptProviderType="rsaFull" w:cryptAlgorithmClass="hash" w:cryptAlgorithmType="typeAny" w:cryptAlgorithmSid="4" w:cryptSpinCount="0" w:hash="LMfcmL/Ge7gwyEStR5QwQhAyO7o=" w:salt="YnHHNTAN2Fd34o4Chi4XCQ=="/>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90B"/>
    <w:rsid w:val="00001D7A"/>
    <w:rsid w:val="00003060"/>
    <w:rsid w:val="000055BB"/>
    <w:rsid w:val="00010FD3"/>
    <w:rsid w:val="00012EA6"/>
    <w:rsid w:val="00013814"/>
    <w:rsid w:val="00013DB2"/>
    <w:rsid w:val="00017CFC"/>
    <w:rsid w:val="00017E1E"/>
    <w:rsid w:val="00023676"/>
    <w:rsid w:val="00024608"/>
    <w:rsid w:val="0002507F"/>
    <w:rsid w:val="00025F1E"/>
    <w:rsid w:val="00026146"/>
    <w:rsid w:val="0002643A"/>
    <w:rsid w:val="0002701F"/>
    <w:rsid w:val="000339BC"/>
    <w:rsid w:val="00034EBE"/>
    <w:rsid w:val="00035118"/>
    <w:rsid w:val="0003567F"/>
    <w:rsid w:val="00035CA9"/>
    <w:rsid w:val="00036AA4"/>
    <w:rsid w:val="00041891"/>
    <w:rsid w:val="00042CA8"/>
    <w:rsid w:val="00043821"/>
    <w:rsid w:val="00043CBA"/>
    <w:rsid w:val="00044F84"/>
    <w:rsid w:val="00046A4B"/>
    <w:rsid w:val="00046C08"/>
    <w:rsid w:val="0005241B"/>
    <w:rsid w:val="000565C4"/>
    <w:rsid w:val="00057F78"/>
    <w:rsid w:val="000602CF"/>
    <w:rsid w:val="0006134B"/>
    <w:rsid w:val="00062821"/>
    <w:rsid w:val="00072834"/>
    <w:rsid w:val="000738CA"/>
    <w:rsid w:val="0007390E"/>
    <w:rsid w:val="00073A45"/>
    <w:rsid w:val="00074766"/>
    <w:rsid w:val="00077629"/>
    <w:rsid w:val="00080AE9"/>
    <w:rsid w:val="00081092"/>
    <w:rsid w:val="00081801"/>
    <w:rsid w:val="00081ACD"/>
    <w:rsid w:val="00081C6C"/>
    <w:rsid w:val="00081EB8"/>
    <w:rsid w:val="00081F16"/>
    <w:rsid w:val="00081F58"/>
    <w:rsid w:val="000823AD"/>
    <w:rsid w:val="000829A8"/>
    <w:rsid w:val="000832B2"/>
    <w:rsid w:val="0008431C"/>
    <w:rsid w:val="0008447C"/>
    <w:rsid w:val="000847D3"/>
    <w:rsid w:val="00086B70"/>
    <w:rsid w:val="00087637"/>
    <w:rsid w:val="000900BA"/>
    <w:rsid w:val="00090D6B"/>
    <w:rsid w:val="00090EB6"/>
    <w:rsid w:val="00090FEC"/>
    <w:rsid w:val="00091C5E"/>
    <w:rsid w:val="00092A9B"/>
    <w:rsid w:val="00092FFF"/>
    <w:rsid w:val="000933F0"/>
    <w:rsid w:val="00093A6B"/>
    <w:rsid w:val="00093D33"/>
    <w:rsid w:val="000956CE"/>
    <w:rsid w:val="0009779D"/>
    <w:rsid w:val="000A0EDD"/>
    <w:rsid w:val="000A152E"/>
    <w:rsid w:val="000A1C72"/>
    <w:rsid w:val="000A2E93"/>
    <w:rsid w:val="000A3597"/>
    <w:rsid w:val="000A36C8"/>
    <w:rsid w:val="000A3FE8"/>
    <w:rsid w:val="000A4640"/>
    <w:rsid w:val="000A55EE"/>
    <w:rsid w:val="000A6CD3"/>
    <w:rsid w:val="000A6D2F"/>
    <w:rsid w:val="000A7E88"/>
    <w:rsid w:val="000B1334"/>
    <w:rsid w:val="000B19C7"/>
    <w:rsid w:val="000B1BD0"/>
    <w:rsid w:val="000B22A3"/>
    <w:rsid w:val="000B4758"/>
    <w:rsid w:val="000B5412"/>
    <w:rsid w:val="000B6571"/>
    <w:rsid w:val="000B709F"/>
    <w:rsid w:val="000C2AA6"/>
    <w:rsid w:val="000C2ED3"/>
    <w:rsid w:val="000C4940"/>
    <w:rsid w:val="000C4BA5"/>
    <w:rsid w:val="000D0476"/>
    <w:rsid w:val="000D1B58"/>
    <w:rsid w:val="000D2631"/>
    <w:rsid w:val="000D619E"/>
    <w:rsid w:val="000D7406"/>
    <w:rsid w:val="000E02FC"/>
    <w:rsid w:val="000E2432"/>
    <w:rsid w:val="000E4B27"/>
    <w:rsid w:val="000E4CE0"/>
    <w:rsid w:val="000E54A0"/>
    <w:rsid w:val="000E632B"/>
    <w:rsid w:val="000E6AAA"/>
    <w:rsid w:val="000F0324"/>
    <w:rsid w:val="000F108C"/>
    <w:rsid w:val="000F3188"/>
    <w:rsid w:val="000F32BA"/>
    <w:rsid w:val="000F3D46"/>
    <w:rsid w:val="000F4146"/>
    <w:rsid w:val="000F71A3"/>
    <w:rsid w:val="000F73C6"/>
    <w:rsid w:val="000F7917"/>
    <w:rsid w:val="001019D8"/>
    <w:rsid w:val="00101EAB"/>
    <w:rsid w:val="001023AB"/>
    <w:rsid w:val="001041CB"/>
    <w:rsid w:val="001046AA"/>
    <w:rsid w:val="00105873"/>
    <w:rsid w:val="00107435"/>
    <w:rsid w:val="00110434"/>
    <w:rsid w:val="001118D4"/>
    <w:rsid w:val="00113293"/>
    <w:rsid w:val="001163D8"/>
    <w:rsid w:val="00116DFD"/>
    <w:rsid w:val="00120C96"/>
    <w:rsid w:val="001212EB"/>
    <w:rsid w:val="00122298"/>
    <w:rsid w:val="0012307F"/>
    <w:rsid w:val="00123128"/>
    <w:rsid w:val="001234C9"/>
    <w:rsid w:val="00124F88"/>
    <w:rsid w:val="00126132"/>
    <w:rsid w:val="0012732E"/>
    <w:rsid w:val="001279FE"/>
    <w:rsid w:val="0013041F"/>
    <w:rsid w:val="001304AB"/>
    <w:rsid w:val="00131B13"/>
    <w:rsid w:val="00131CCB"/>
    <w:rsid w:val="00132172"/>
    <w:rsid w:val="001321E1"/>
    <w:rsid w:val="00132364"/>
    <w:rsid w:val="00132A89"/>
    <w:rsid w:val="001342A5"/>
    <w:rsid w:val="00135227"/>
    <w:rsid w:val="00135251"/>
    <w:rsid w:val="001378C9"/>
    <w:rsid w:val="001401E4"/>
    <w:rsid w:val="00141474"/>
    <w:rsid w:val="00141D13"/>
    <w:rsid w:val="00142572"/>
    <w:rsid w:val="00142EF6"/>
    <w:rsid w:val="00143832"/>
    <w:rsid w:val="00144E92"/>
    <w:rsid w:val="00146C37"/>
    <w:rsid w:val="001507A5"/>
    <w:rsid w:val="00152007"/>
    <w:rsid w:val="001529CB"/>
    <w:rsid w:val="00152E6D"/>
    <w:rsid w:val="001532B2"/>
    <w:rsid w:val="001537D5"/>
    <w:rsid w:val="00154FBD"/>
    <w:rsid w:val="00155298"/>
    <w:rsid w:val="00155525"/>
    <w:rsid w:val="00157B0E"/>
    <w:rsid w:val="00161255"/>
    <w:rsid w:val="0016296E"/>
    <w:rsid w:val="00164692"/>
    <w:rsid w:val="00165AF5"/>
    <w:rsid w:val="00166938"/>
    <w:rsid w:val="0016693E"/>
    <w:rsid w:val="001672C3"/>
    <w:rsid w:val="0016783C"/>
    <w:rsid w:val="001678FA"/>
    <w:rsid w:val="001708C3"/>
    <w:rsid w:val="00170AE1"/>
    <w:rsid w:val="00170E55"/>
    <w:rsid w:val="00170F9A"/>
    <w:rsid w:val="00171381"/>
    <w:rsid w:val="001719D7"/>
    <w:rsid w:val="0017234B"/>
    <w:rsid w:val="00172A27"/>
    <w:rsid w:val="00172A7E"/>
    <w:rsid w:val="00175E3A"/>
    <w:rsid w:val="001777B6"/>
    <w:rsid w:val="0017792A"/>
    <w:rsid w:val="001808BE"/>
    <w:rsid w:val="00180E2F"/>
    <w:rsid w:val="0018170A"/>
    <w:rsid w:val="001818E5"/>
    <w:rsid w:val="00181A4E"/>
    <w:rsid w:val="00182803"/>
    <w:rsid w:val="00183BF5"/>
    <w:rsid w:val="00183C38"/>
    <w:rsid w:val="00186AF5"/>
    <w:rsid w:val="00193FCE"/>
    <w:rsid w:val="001941B8"/>
    <w:rsid w:val="00194451"/>
    <w:rsid w:val="001949DF"/>
    <w:rsid w:val="00194D1C"/>
    <w:rsid w:val="00195036"/>
    <w:rsid w:val="0019595A"/>
    <w:rsid w:val="00195D3C"/>
    <w:rsid w:val="0019697C"/>
    <w:rsid w:val="001A0309"/>
    <w:rsid w:val="001A0470"/>
    <w:rsid w:val="001A1BB5"/>
    <w:rsid w:val="001A1D5B"/>
    <w:rsid w:val="001A246D"/>
    <w:rsid w:val="001A47BB"/>
    <w:rsid w:val="001A6EC8"/>
    <w:rsid w:val="001A733E"/>
    <w:rsid w:val="001A786E"/>
    <w:rsid w:val="001B399F"/>
    <w:rsid w:val="001B3DD4"/>
    <w:rsid w:val="001B50D6"/>
    <w:rsid w:val="001B5626"/>
    <w:rsid w:val="001B6072"/>
    <w:rsid w:val="001B63AC"/>
    <w:rsid w:val="001C050D"/>
    <w:rsid w:val="001C2D34"/>
    <w:rsid w:val="001C397C"/>
    <w:rsid w:val="001C6505"/>
    <w:rsid w:val="001C71F2"/>
    <w:rsid w:val="001C77C2"/>
    <w:rsid w:val="001D0621"/>
    <w:rsid w:val="001D0DA4"/>
    <w:rsid w:val="001D14A1"/>
    <w:rsid w:val="001D17A7"/>
    <w:rsid w:val="001D23F7"/>
    <w:rsid w:val="001D2F63"/>
    <w:rsid w:val="001D3921"/>
    <w:rsid w:val="001D3B0B"/>
    <w:rsid w:val="001D4968"/>
    <w:rsid w:val="001D57AD"/>
    <w:rsid w:val="001D5C73"/>
    <w:rsid w:val="001D5E76"/>
    <w:rsid w:val="001D6398"/>
    <w:rsid w:val="001E04F2"/>
    <w:rsid w:val="001E0A3F"/>
    <w:rsid w:val="001E1A46"/>
    <w:rsid w:val="001E30AE"/>
    <w:rsid w:val="001E45BE"/>
    <w:rsid w:val="001E4C21"/>
    <w:rsid w:val="001E58CE"/>
    <w:rsid w:val="001E645A"/>
    <w:rsid w:val="001E66B1"/>
    <w:rsid w:val="001E7368"/>
    <w:rsid w:val="001F0376"/>
    <w:rsid w:val="001F0470"/>
    <w:rsid w:val="001F1A30"/>
    <w:rsid w:val="001F1AC5"/>
    <w:rsid w:val="001F4C70"/>
    <w:rsid w:val="001F5DAF"/>
    <w:rsid w:val="001F6921"/>
    <w:rsid w:val="001F6D7D"/>
    <w:rsid w:val="00200A06"/>
    <w:rsid w:val="00200B9A"/>
    <w:rsid w:val="00200E90"/>
    <w:rsid w:val="002011F8"/>
    <w:rsid w:val="00201E27"/>
    <w:rsid w:val="00202132"/>
    <w:rsid w:val="002044AE"/>
    <w:rsid w:val="002052BF"/>
    <w:rsid w:val="002053C1"/>
    <w:rsid w:val="00205670"/>
    <w:rsid w:val="00205DC9"/>
    <w:rsid w:val="0020635B"/>
    <w:rsid w:val="002064E1"/>
    <w:rsid w:val="00207173"/>
    <w:rsid w:val="00207193"/>
    <w:rsid w:val="00210346"/>
    <w:rsid w:val="00212022"/>
    <w:rsid w:val="002146E7"/>
    <w:rsid w:val="002149A3"/>
    <w:rsid w:val="00214DD7"/>
    <w:rsid w:val="00214F54"/>
    <w:rsid w:val="00215479"/>
    <w:rsid w:val="002155C5"/>
    <w:rsid w:val="00217326"/>
    <w:rsid w:val="0022149C"/>
    <w:rsid w:val="00221561"/>
    <w:rsid w:val="00221997"/>
    <w:rsid w:val="00222752"/>
    <w:rsid w:val="002228C6"/>
    <w:rsid w:val="0022294E"/>
    <w:rsid w:val="002238AE"/>
    <w:rsid w:val="002243D1"/>
    <w:rsid w:val="00225DB3"/>
    <w:rsid w:val="0023012A"/>
    <w:rsid w:val="00230C43"/>
    <w:rsid w:val="00231D21"/>
    <w:rsid w:val="0023255F"/>
    <w:rsid w:val="00232CD0"/>
    <w:rsid w:val="002341A2"/>
    <w:rsid w:val="00237A15"/>
    <w:rsid w:val="00240177"/>
    <w:rsid w:val="00240733"/>
    <w:rsid w:val="00240FF8"/>
    <w:rsid w:val="002414E5"/>
    <w:rsid w:val="00241D3A"/>
    <w:rsid w:val="0024269B"/>
    <w:rsid w:val="00242A60"/>
    <w:rsid w:val="00244532"/>
    <w:rsid w:val="00246DB1"/>
    <w:rsid w:val="00247523"/>
    <w:rsid w:val="00247993"/>
    <w:rsid w:val="002511FE"/>
    <w:rsid w:val="00252113"/>
    <w:rsid w:val="002529D6"/>
    <w:rsid w:val="002551E0"/>
    <w:rsid w:val="002552EF"/>
    <w:rsid w:val="0025530F"/>
    <w:rsid w:val="002558EA"/>
    <w:rsid w:val="00255F14"/>
    <w:rsid w:val="002574D7"/>
    <w:rsid w:val="00257B22"/>
    <w:rsid w:val="0026010A"/>
    <w:rsid w:val="002602F6"/>
    <w:rsid w:val="0026165D"/>
    <w:rsid w:val="002661D7"/>
    <w:rsid w:val="002665E4"/>
    <w:rsid w:val="00266EB2"/>
    <w:rsid w:val="002673AF"/>
    <w:rsid w:val="00267440"/>
    <w:rsid w:val="0027067C"/>
    <w:rsid w:val="00270EED"/>
    <w:rsid w:val="00270FE1"/>
    <w:rsid w:val="00271ABB"/>
    <w:rsid w:val="00272723"/>
    <w:rsid w:val="00272B6B"/>
    <w:rsid w:val="00272DEC"/>
    <w:rsid w:val="002751DF"/>
    <w:rsid w:val="002759A2"/>
    <w:rsid w:val="00276204"/>
    <w:rsid w:val="00280E45"/>
    <w:rsid w:val="002810F8"/>
    <w:rsid w:val="00281565"/>
    <w:rsid w:val="00282B24"/>
    <w:rsid w:val="00283074"/>
    <w:rsid w:val="00285049"/>
    <w:rsid w:val="00290B53"/>
    <w:rsid w:val="00290D50"/>
    <w:rsid w:val="00293F3F"/>
    <w:rsid w:val="0029442F"/>
    <w:rsid w:val="002954F0"/>
    <w:rsid w:val="0029595B"/>
    <w:rsid w:val="00295A34"/>
    <w:rsid w:val="0029613E"/>
    <w:rsid w:val="00296501"/>
    <w:rsid w:val="002975BF"/>
    <w:rsid w:val="002A0347"/>
    <w:rsid w:val="002A2B5C"/>
    <w:rsid w:val="002A4898"/>
    <w:rsid w:val="002A4B93"/>
    <w:rsid w:val="002A4F6F"/>
    <w:rsid w:val="002A5411"/>
    <w:rsid w:val="002A7325"/>
    <w:rsid w:val="002A7814"/>
    <w:rsid w:val="002B07DD"/>
    <w:rsid w:val="002B1EC7"/>
    <w:rsid w:val="002B5E0D"/>
    <w:rsid w:val="002B68F5"/>
    <w:rsid w:val="002C00FF"/>
    <w:rsid w:val="002C11FF"/>
    <w:rsid w:val="002C13E7"/>
    <w:rsid w:val="002C13ED"/>
    <w:rsid w:val="002C1681"/>
    <w:rsid w:val="002C3330"/>
    <w:rsid w:val="002C6208"/>
    <w:rsid w:val="002C6933"/>
    <w:rsid w:val="002C74B6"/>
    <w:rsid w:val="002D0379"/>
    <w:rsid w:val="002D14BE"/>
    <w:rsid w:val="002D272C"/>
    <w:rsid w:val="002D35EE"/>
    <w:rsid w:val="002D40A9"/>
    <w:rsid w:val="002D5868"/>
    <w:rsid w:val="002D6349"/>
    <w:rsid w:val="002D6B6F"/>
    <w:rsid w:val="002D7623"/>
    <w:rsid w:val="002D7628"/>
    <w:rsid w:val="002D7A77"/>
    <w:rsid w:val="002D7AB6"/>
    <w:rsid w:val="002D7BE8"/>
    <w:rsid w:val="002D7F13"/>
    <w:rsid w:val="002E098C"/>
    <w:rsid w:val="002E15EE"/>
    <w:rsid w:val="002E2367"/>
    <w:rsid w:val="002E3E40"/>
    <w:rsid w:val="002E5245"/>
    <w:rsid w:val="002E55BC"/>
    <w:rsid w:val="002E60E6"/>
    <w:rsid w:val="002E650E"/>
    <w:rsid w:val="002E76EF"/>
    <w:rsid w:val="002E7E70"/>
    <w:rsid w:val="002F08C6"/>
    <w:rsid w:val="002F08FA"/>
    <w:rsid w:val="002F24F3"/>
    <w:rsid w:val="002F2754"/>
    <w:rsid w:val="002F32BA"/>
    <w:rsid w:val="002F37CB"/>
    <w:rsid w:val="002F4ADA"/>
    <w:rsid w:val="002F5465"/>
    <w:rsid w:val="002F7AD0"/>
    <w:rsid w:val="002F7EF3"/>
    <w:rsid w:val="00300192"/>
    <w:rsid w:val="00300564"/>
    <w:rsid w:val="0030169A"/>
    <w:rsid w:val="00302091"/>
    <w:rsid w:val="00306123"/>
    <w:rsid w:val="00307CF1"/>
    <w:rsid w:val="0031007D"/>
    <w:rsid w:val="00311B9B"/>
    <w:rsid w:val="003144F4"/>
    <w:rsid w:val="003157D1"/>
    <w:rsid w:val="003167BE"/>
    <w:rsid w:val="00316A48"/>
    <w:rsid w:val="00317222"/>
    <w:rsid w:val="003214B1"/>
    <w:rsid w:val="00322799"/>
    <w:rsid w:val="0032321A"/>
    <w:rsid w:val="00323817"/>
    <w:rsid w:val="003241F1"/>
    <w:rsid w:val="0032467A"/>
    <w:rsid w:val="0032568F"/>
    <w:rsid w:val="0032749E"/>
    <w:rsid w:val="00332B99"/>
    <w:rsid w:val="003343B3"/>
    <w:rsid w:val="00334CC7"/>
    <w:rsid w:val="0033552B"/>
    <w:rsid w:val="003355B7"/>
    <w:rsid w:val="00336881"/>
    <w:rsid w:val="00336AAB"/>
    <w:rsid w:val="00340B42"/>
    <w:rsid w:val="00341021"/>
    <w:rsid w:val="00341F13"/>
    <w:rsid w:val="003429CA"/>
    <w:rsid w:val="003431FD"/>
    <w:rsid w:val="00343634"/>
    <w:rsid w:val="00343A1D"/>
    <w:rsid w:val="00343D9C"/>
    <w:rsid w:val="00343E5C"/>
    <w:rsid w:val="003445EE"/>
    <w:rsid w:val="00344CFC"/>
    <w:rsid w:val="003500BA"/>
    <w:rsid w:val="0035121B"/>
    <w:rsid w:val="00351933"/>
    <w:rsid w:val="00352D4E"/>
    <w:rsid w:val="00355DB8"/>
    <w:rsid w:val="00357E65"/>
    <w:rsid w:val="00357F64"/>
    <w:rsid w:val="0036067C"/>
    <w:rsid w:val="003612D6"/>
    <w:rsid w:val="003634F4"/>
    <w:rsid w:val="00363B02"/>
    <w:rsid w:val="003642B6"/>
    <w:rsid w:val="00364E6B"/>
    <w:rsid w:val="00365BD8"/>
    <w:rsid w:val="00371760"/>
    <w:rsid w:val="00372115"/>
    <w:rsid w:val="00372702"/>
    <w:rsid w:val="003738EA"/>
    <w:rsid w:val="00374310"/>
    <w:rsid w:val="003749DF"/>
    <w:rsid w:val="00374E90"/>
    <w:rsid w:val="00376869"/>
    <w:rsid w:val="00380598"/>
    <w:rsid w:val="00381B01"/>
    <w:rsid w:val="003829D9"/>
    <w:rsid w:val="003832F9"/>
    <w:rsid w:val="00383B07"/>
    <w:rsid w:val="00383B17"/>
    <w:rsid w:val="00384A92"/>
    <w:rsid w:val="003854F3"/>
    <w:rsid w:val="00386518"/>
    <w:rsid w:val="0038748E"/>
    <w:rsid w:val="00391A61"/>
    <w:rsid w:val="0039316A"/>
    <w:rsid w:val="0039491D"/>
    <w:rsid w:val="00397B1C"/>
    <w:rsid w:val="00397E86"/>
    <w:rsid w:val="003A092F"/>
    <w:rsid w:val="003A1388"/>
    <w:rsid w:val="003A139A"/>
    <w:rsid w:val="003A1D20"/>
    <w:rsid w:val="003A258C"/>
    <w:rsid w:val="003A40E7"/>
    <w:rsid w:val="003A4472"/>
    <w:rsid w:val="003A5C2B"/>
    <w:rsid w:val="003A78B7"/>
    <w:rsid w:val="003B095A"/>
    <w:rsid w:val="003B0AE9"/>
    <w:rsid w:val="003B2F1D"/>
    <w:rsid w:val="003B309D"/>
    <w:rsid w:val="003B30E9"/>
    <w:rsid w:val="003B4408"/>
    <w:rsid w:val="003B4EE5"/>
    <w:rsid w:val="003B5D7B"/>
    <w:rsid w:val="003B5F19"/>
    <w:rsid w:val="003B638F"/>
    <w:rsid w:val="003B67A0"/>
    <w:rsid w:val="003B681B"/>
    <w:rsid w:val="003B70F6"/>
    <w:rsid w:val="003B72E5"/>
    <w:rsid w:val="003C0C7E"/>
    <w:rsid w:val="003C0E0B"/>
    <w:rsid w:val="003C1220"/>
    <w:rsid w:val="003C2DA4"/>
    <w:rsid w:val="003C3607"/>
    <w:rsid w:val="003C3ADB"/>
    <w:rsid w:val="003C468C"/>
    <w:rsid w:val="003C47B5"/>
    <w:rsid w:val="003C5626"/>
    <w:rsid w:val="003C58B5"/>
    <w:rsid w:val="003C6339"/>
    <w:rsid w:val="003C6B76"/>
    <w:rsid w:val="003C779C"/>
    <w:rsid w:val="003C7FA7"/>
    <w:rsid w:val="003D1F56"/>
    <w:rsid w:val="003D1FCD"/>
    <w:rsid w:val="003D3512"/>
    <w:rsid w:val="003D3B92"/>
    <w:rsid w:val="003D4056"/>
    <w:rsid w:val="003D415D"/>
    <w:rsid w:val="003D46D1"/>
    <w:rsid w:val="003D5A77"/>
    <w:rsid w:val="003E0C29"/>
    <w:rsid w:val="003E18B3"/>
    <w:rsid w:val="003E4A4E"/>
    <w:rsid w:val="003E4AEB"/>
    <w:rsid w:val="003E58E5"/>
    <w:rsid w:val="003E5EE1"/>
    <w:rsid w:val="003E6A13"/>
    <w:rsid w:val="003E7C9B"/>
    <w:rsid w:val="003E7D25"/>
    <w:rsid w:val="003F0417"/>
    <w:rsid w:val="003F180D"/>
    <w:rsid w:val="003F404C"/>
    <w:rsid w:val="003F55A2"/>
    <w:rsid w:val="003F6764"/>
    <w:rsid w:val="0040196C"/>
    <w:rsid w:val="00402F4C"/>
    <w:rsid w:val="00403958"/>
    <w:rsid w:val="004075E0"/>
    <w:rsid w:val="00407C0B"/>
    <w:rsid w:val="004128F3"/>
    <w:rsid w:val="00412960"/>
    <w:rsid w:val="00412A5D"/>
    <w:rsid w:val="00412CA6"/>
    <w:rsid w:val="00413557"/>
    <w:rsid w:val="004137F3"/>
    <w:rsid w:val="00415470"/>
    <w:rsid w:val="00415CFA"/>
    <w:rsid w:val="00415E18"/>
    <w:rsid w:val="00416388"/>
    <w:rsid w:val="00416EA9"/>
    <w:rsid w:val="0041769D"/>
    <w:rsid w:val="00417D4F"/>
    <w:rsid w:val="00421EEA"/>
    <w:rsid w:val="00422027"/>
    <w:rsid w:val="004221B2"/>
    <w:rsid w:val="004223F4"/>
    <w:rsid w:val="0042390E"/>
    <w:rsid w:val="00425B45"/>
    <w:rsid w:val="00425C82"/>
    <w:rsid w:val="00425D4D"/>
    <w:rsid w:val="004300B5"/>
    <w:rsid w:val="00430F93"/>
    <w:rsid w:val="00433AB6"/>
    <w:rsid w:val="004342C9"/>
    <w:rsid w:val="00434B04"/>
    <w:rsid w:val="004374D0"/>
    <w:rsid w:val="00440412"/>
    <w:rsid w:val="00443935"/>
    <w:rsid w:val="00443D5A"/>
    <w:rsid w:val="004442B3"/>
    <w:rsid w:val="0044437B"/>
    <w:rsid w:val="0044498E"/>
    <w:rsid w:val="00444EDB"/>
    <w:rsid w:val="0044541C"/>
    <w:rsid w:val="004460B8"/>
    <w:rsid w:val="00447613"/>
    <w:rsid w:val="00447654"/>
    <w:rsid w:val="00450A1C"/>
    <w:rsid w:val="004513F9"/>
    <w:rsid w:val="00451F87"/>
    <w:rsid w:val="00452DB9"/>
    <w:rsid w:val="00452F36"/>
    <w:rsid w:val="00453130"/>
    <w:rsid w:val="0045394E"/>
    <w:rsid w:val="004543BF"/>
    <w:rsid w:val="00454B5D"/>
    <w:rsid w:val="00455B44"/>
    <w:rsid w:val="00456FA3"/>
    <w:rsid w:val="0045706F"/>
    <w:rsid w:val="0045754E"/>
    <w:rsid w:val="004575C3"/>
    <w:rsid w:val="00460E98"/>
    <w:rsid w:val="00461AA0"/>
    <w:rsid w:val="0046225F"/>
    <w:rsid w:val="004640E1"/>
    <w:rsid w:val="00465462"/>
    <w:rsid w:val="004666B5"/>
    <w:rsid w:val="004669E3"/>
    <w:rsid w:val="00467112"/>
    <w:rsid w:val="00467B60"/>
    <w:rsid w:val="00467ECF"/>
    <w:rsid w:val="0047305B"/>
    <w:rsid w:val="004736BA"/>
    <w:rsid w:val="00475A0F"/>
    <w:rsid w:val="004760DD"/>
    <w:rsid w:val="004771A7"/>
    <w:rsid w:val="0047720E"/>
    <w:rsid w:val="00477DF1"/>
    <w:rsid w:val="00480562"/>
    <w:rsid w:val="004805E1"/>
    <w:rsid w:val="0048194E"/>
    <w:rsid w:val="00481D33"/>
    <w:rsid w:val="004830D3"/>
    <w:rsid w:val="00483137"/>
    <w:rsid w:val="004833C3"/>
    <w:rsid w:val="00483BCD"/>
    <w:rsid w:val="00484BA8"/>
    <w:rsid w:val="004851E7"/>
    <w:rsid w:val="004864AD"/>
    <w:rsid w:val="00486BD8"/>
    <w:rsid w:val="00486D4E"/>
    <w:rsid w:val="00487F50"/>
    <w:rsid w:val="004905D0"/>
    <w:rsid w:val="00491B93"/>
    <w:rsid w:val="0049352F"/>
    <w:rsid w:val="00494705"/>
    <w:rsid w:val="00494A80"/>
    <w:rsid w:val="00496C53"/>
    <w:rsid w:val="004A07AF"/>
    <w:rsid w:val="004A465C"/>
    <w:rsid w:val="004A4B42"/>
    <w:rsid w:val="004A5A5E"/>
    <w:rsid w:val="004A5AA9"/>
    <w:rsid w:val="004A64A5"/>
    <w:rsid w:val="004A759D"/>
    <w:rsid w:val="004A791C"/>
    <w:rsid w:val="004B10CD"/>
    <w:rsid w:val="004B2765"/>
    <w:rsid w:val="004B672E"/>
    <w:rsid w:val="004B67C9"/>
    <w:rsid w:val="004B6984"/>
    <w:rsid w:val="004B74ED"/>
    <w:rsid w:val="004B7B30"/>
    <w:rsid w:val="004C05F2"/>
    <w:rsid w:val="004C2800"/>
    <w:rsid w:val="004C3306"/>
    <w:rsid w:val="004C407E"/>
    <w:rsid w:val="004C40F4"/>
    <w:rsid w:val="004C506F"/>
    <w:rsid w:val="004C7A15"/>
    <w:rsid w:val="004D11B7"/>
    <w:rsid w:val="004D2778"/>
    <w:rsid w:val="004D4274"/>
    <w:rsid w:val="004D57A0"/>
    <w:rsid w:val="004D5F36"/>
    <w:rsid w:val="004E0791"/>
    <w:rsid w:val="004E0F8E"/>
    <w:rsid w:val="004E1013"/>
    <w:rsid w:val="004E2848"/>
    <w:rsid w:val="004E44CC"/>
    <w:rsid w:val="004E5CA5"/>
    <w:rsid w:val="004E7529"/>
    <w:rsid w:val="004F16A1"/>
    <w:rsid w:val="004F2DDA"/>
    <w:rsid w:val="004F352D"/>
    <w:rsid w:val="004F4CDB"/>
    <w:rsid w:val="004F568A"/>
    <w:rsid w:val="004F581C"/>
    <w:rsid w:val="004F68CE"/>
    <w:rsid w:val="004F718A"/>
    <w:rsid w:val="0050062C"/>
    <w:rsid w:val="005021E6"/>
    <w:rsid w:val="005034FC"/>
    <w:rsid w:val="00503F67"/>
    <w:rsid w:val="005044B9"/>
    <w:rsid w:val="005055E2"/>
    <w:rsid w:val="00506583"/>
    <w:rsid w:val="00507080"/>
    <w:rsid w:val="005074BB"/>
    <w:rsid w:val="00507D74"/>
    <w:rsid w:val="00510644"/>
    <w:rsid w:val="005106D5"/>
    <w:rsid w:val="005112F3"/>
    <w:rsid w:val="0051190D"/>
    <w:rsid w:val="00514849"/>
    <w:rsid w:val="0051562D"/>
    <w:rsid w:val="00517BF1"/>
    <w:rsid w:val="00517FDD"/>
    <w:rsid w:val="00520645"/>
    <w:rsid w:val="00520920"/>
    <w:rsid w:val="00524D6D"/>
    <w:rsid w:val="00524D76"/>
    <w:rsid w:val="00524D8B"/>
    <w:rsid w:val="005252C0"/>
    <w:rsid w:val="00525E8C"/>
    <w:rsid w:val="00527F92"/>
    <w:rsid w:val="00530CE7"/>
    <w:rsid w:val="00530D4A"/>
    <w:rsid w:val="00530DC4"/>
    <w:rsid w:val="00530E45"/>
    <w:rsid w:val="00531312"/>
    <w:rsid w:val="005316A8"/>
    <w:rsid w:val="00531FA9"/>
    <w:rsid w:val="00533B7E"/>
    <w:rsid w:val="00535C65"/>
    <w:rsid w:val="00535ECA"/>
    <w:rsid w:val="0053682D"/>
    <w:rsid w:val="00540FEC"/>
    <w:rsid w:val="005414D6"/>
    <w:rsid w:val="00541F83"/>
    <w:rsid w:val="005430C7"/>
    <w:rsid w:val="00543312"/>
    <w:rsid w:val="00543809"/>
    <w:rsid w:val="005439BF"/>
    <w:rsid w:val="00543CB6"/>
    <w:rsid w:val="00543D6B"/>
    <w:rsid w:val="005446B0"/>
    <w:rsid w:val="00545349"/>
    <w:rsid w:val="00546183"/>
    <w:rsid w:val="005475A9"/>
    <w:rsid w:val="005478E2"/>
    <w:rsid w:val="00547E4F"/>
    <w:rsid w:val="00550A95"/>
    <w:rsid w:val="00551DFC"/>
    <w:rsid w:val="0055211A"/>
    <w:rsid w:val="0055216F"/>
    <w:rsid w:val="00557834"/>
    <w:rsid w:val="005605F8"/>
    <w:rsid w:val="0056183F"/>
    <w:rsid w:val="0056210B"/>
    <w:rsid w:val="005622D1"/>
    <w:rsid w:val="00563224"/>
    <w:rsid w:val="005633AF"/>
    <w:rsid w:val="0056380E"/>
    <w:rsid w:val="005645A9"/>
    <w:rsid w:val="005650C2"/>
    <w:rsid w:val="00565A8C"/>
    <w:rsid w:val="00567720"/>
    <w:rsid w:val="00571064"/>
    <w:rsid w:val="005723C2"/>
    <w:rsid w:val="00572F0A"/>
    <w:rsid w:val="00573012"/>
    <w:rsid w:val="00573562"/>
    <w:rsid w:val="00574068"/>
    <w:rsid w:val="00575306"/>
    <w:rsid w:val="00575C71"/>
    <w:rsid w:val="005773BE"/>
    <w:rsid w:val="00577C90"/>
    <w:rsid w:val="00580954"/>
    <w:rsid w:val="00580F4C"/>
    <w:rsid w:val="005824F8"/>
    <w:rsid w:val="00583A5C"/>
    <w:rsid w:val="005850D6"/>
    <w:rsid w:val="00586357"/>
    <w:rsid w:val="0058643C"/>
    <w:rsid w:val="00586EDA"/>
    <w:rsid w:val="00586F03"/>
    <w:rsid w:val="00587114"/>
    <w:rsid w:val="005927CD"/>
    <w:rsid w:val="00593176"/>
    <w:rsid w:val="0059343A"/>
    <w:rsid w:val="00593CA2"/>
    <w:rsid w:val="00595B4A"/>
    <w:rsid w:val="005964EC"/>
    <w:rsid w:val="005A0661"/>
    <w:rsid w:val="005A1FDF"/>
    <w:rsid w:val="005A2B40"/>
    <w:rsid w:val="005A2DB1"/>
    <w:rsid w:val="005A3025"/>
    <w:rsid w:val="005A4192"/>
    <w:rsid w:val="005A4F1F"/>
    <w:rsid w:val="005A5A1C"/>
    <w:rsid w:val="005A6732"/>
    <w:rsid w:val="005B1C02"/>
    <w:rsid w:val="005B1F53"/>
    <w:rsid w:val="005B33DC"/>
    <w:rsid w:val="005B4FF7"/>
    <w:rsid w:val="005B5511"/>
    <w:rsid w:val="005B6269"/>
    <w:rsid w:val="005B6A2F"/>
    <w:rsid w:val="005B6E58"/>
    <w:rsid w:val="005C31C8"/>
    <w:rsid w:val="005C4416"/>
    <w:rsid w:val="005C4D85"/>
    <w:rsid w:val="005C6CE7"/>
    <w:rsid w:val="005D184D"/>
    <w:rsid w:val="005D1BF1"/>
    <w:rsid w:val="005D2C74"/>
    <w:rsid w:val="005D2CB5"/>
    <w:rsid w:val="005D32D1"/>
    <w:rsid w:val="005D386F"/>
    <w:rsid w:val="005D5929"/>
    <w:rsid w:val="005D6D46"/>
    <w:rsid w:val="005D6DB1"/>
    <w:rsid w:val="005D72C1"/>
    <w:rsid w:val="005D7663"/>
    <w:rsid w:val="005E31E2"/>
    <w:rsid w:val="005E3DC5"/>
    <w:rsid w:val="005E3E03"/>
    <w:rsid w:val="005E4813"/>
    <w:rsid w:val="005E4FE7"/>
    <w:rsid w:val="005E626D"/>
    <w:rsid w:val="005E6E82"/>
    <w:rsid w:val="005F0E56"/>
    <w:rsid w:val="005F1007"/>
    <w:rsid w:val="005F57EC"/>
    <w:rsid w:val="005F6167"/>
    <w:rsid w:val="006005D4"/>
    <w:rsid w:val="00600B40"/>
    <w:rsid w:val="006011FA"/>
    <w:rsid w:val="0060178F"/>
    <w:rsid w:val="00602576"/>
    <w:rsid w:val="00602663"/>
    <w:rsid w:val="006031DC"/>
    <w:rsid w:val="00604A07"/>
    <w:rsid w:val="0060535C"/>
    <w:rsid w:val="00607400"/>
    <w:rsid w:val="00611C93"/>
    <w:rsid w:val="006120D5"/>
    <w:rsid w:val="00613D71"/>
    <w:rsid w:val="00614767"/>
    <w:rsid w:val="00615523"/>
    <w:rsid w:val="006159BC"/>
    <w:rsid w:val="006167BD"/>
    <w:rsid w:val="006173BB"/>
    <w:rsid w:val="00617D6A"/>
    <w:rsid w:val="006206B9"/>
    <w:rsid w:val="00620BD0"/>
    <w:rsid w:val="00622459"/>
    <w:rsid w:val="00623CBC"/>
    <w:rsid w:val="006243E7"/>
    <w:rsid w:val="00624E84"/>
    <w:rsid w:val="00625201"/>
    <w:rsid w:val="00625C51"/>
    <w:rsid w:val="0063027F"/>
    <w:rsid w:val="00630D29"/>
    <w:rsid w:val="006313EC"/>
    <w:rsid w:val="00631AFB"/>
    <w:rsid w:val="0063261A"/>
    <w:rsid w:val="0063473B"/>
    <w:rsid w:val="0063507E"/>
    <w:rsid w:val="006359D2"/>
    <w:rsid w:val="006369CC"/>
    <w:rsid w:val="006374EF"/>
    <w:rsid w:val="00641153"/>
    <w:rsid w:val="00643E16"/>
    <w:rsid w:val="00645028"/>
    <w:rsid w:val="00646631"/>
    <w:rsid w:val="00647F26"/>
    <w:rsid w:val="00650587"/>
    <w:rsid w:val="00652372"/>
    <w:rsid w:val="00653480"/>
    <w:rsid w:val="006536D6"/>
    <w:rsid w:val="00654B00"/>
    <w:rsid w:val="0065532F"/>
    <w:rsid w:val="006560FF"/>
    <w:rsid w:val="00656196"/>
    <w:rsid w:val="00656CC4"/>
    <w:rsid w:val="00656D5E"/>
    <w:rsid w:val="00657569"/>
    <w:rsid w:val="00657C0D"/>
    <w:rsid w:val="00657C6F"/>
    <w:rsid w:val="006625FB"/>
    <w:rsid w:val="00662875"/>
    <w:rsid w:val="00663399"/>
    <w:rsid w:val="0066466F"/>
    <w:rsid w:val="00664915"/>
    <w:rsid w:val="006656A2"/>
    <w:rsid w:val="00665738"/>
    <w:rsid w:val="00666247"/>
    <w:rsid w:val="00667933"/>
    <w:rsid w:val="006679EB"/>
    <w:rsid w:val="006726B9"/>
    <w:rsid w:val="00674F5E"/>
    <w:rsid w:val="006763B3"/>
    <w:rsid w:val="00681E1D"/>
    <w:rsid w:val="00682F0F"/>
    <w:rsid w:val="00683222"/>
    <w:rsid w:val="006841FA"/>
    <w:rsid w:val="006849DD"/>
    <w:rsid w:val="00685608"/>
    <w:rsid w:val="00685CFC"/>
    <w:rsid w:val="00686774"/>
    <w:rsid w:val="00686A7A"/>
    <w:rsid w:val="00686F46"/>
    <w:rsid w:val="00687755"/>
    <w:rsid w:val="00687B51"/>
    <w:rsid w:val="00687CEA"/>
    <w:rsid w:val="006900BC"/>
    <w:rsid w:val="006907CD"/>
    <w:rsid w:val="00691002"/>
    <w:rsid w:val="0069218D"/>
    <w:rsid w:val="0069219B"/>
    <w:rsid w:val="006924FD"/>
    <w:rsid w:val="00692DD7"/>
    <w:rsid w:val="00692DDF"/>
    <w:rsid w:val="0069376A"/>
    <w:rsid w:val="00694936"/>
    <w:rsid w:val="00694F25"/>
    <w:rsid w:val="00695074"/>
    <w:rsid w:val="00695709"/>
    <w:rsid w:val="00696321"/>
    <w:rsid w:val="00697007"/>
    <w:rsid w:val="00697FCE"/>
    <w:rsid w:val="006A077D"/>
    <w:rsid w:val="006A1725"/>
    <w:rsid w:val="006A1DAF"/>
    <w:rsid w:val="006A211F"/>
    <w:rsid w:val="006A2156"/>
    <w:rsid w:val="006A4BFB"/>
    <w:rsid w:val="006A5AD0"/>
    <w:rsid w:val="006A5E4F"/>
    <w:rsid w:val="006A5EAE"/>
    <w:rsid w:val="006A72B3"/>
    <w:rsid w:val="006A7652"/>
    <w:rsid w:val="006A76FE"/>
    <w:rsid w:val="006B1F2E"/>
    <w:rsid w:val="006B34CD"/>
    <w:rsid w:val="006B46DC"/>
    <w:rsid w:val="006B4711"/>
    <w:rsid w:val="006B53A6"/>
    <w:rsid w:val="006B666A"/>
    <w:rsid w:val="006B69D8"/>
    <w:rsid w:val="006B78F3"/>
    <w:rsid w:val="006B7F89"/>
    <w:rsid w:val="006C1199"/>
    <w:rsid w:val="006C195A"/>
    <w:rsid w:val="006C1CDA"/>
    <w:rsid w:val="006C1DCC"/>
    <w:rsid w:val="006C3846"/>
    <w:rsid w:val="006C3BF0"/>
    <w:rsid w:val="006C4725"/>
    <w:rsid w:val="006C568D"/>
    <w:rsid w:val="006C7DEE"/>
    <w:rsid w:val="006D221B"/>
    <w:rsid w:val="006D3D69"/>
    <w:rsid w:val="006D3E64"/>
    <w:rsid w:val="006D4845"/>
    <w:rsid w:val="006D5657"/>
    <w:rsid w:val="006D6C4A"/>
    <w:rsid w:val="006D7839"/>
    <w:rsid w:val="006E02B1"/>
    <w:rsid w:val="006E0C10"/>
    <w:rsid w:val="006E14ED"/>
    <w:rsid w:val="006E157D"/>
    <w:rsid w:val="006E19C5"/>
    <w:rsid w:val="006E3E44"/>
    <w:rsid w:val="006E44E3"/>
    <w:rsid w:val="006E4EF6"/>
    <w:rsid w:val="006E6DDB"/>
    <w:rsid w:val="006F0078"/>
    <w:rsid w:val="006F0296"/>
    <w:rsid w:val="006F0AC4"/>
    <w:rsid w:val="006F2CEE"/>
    <w:rsid w:val="006F3DF9"/>
    <w:rsid w:val="006F5195"/>
    <w:rsid w:val="006F5D51"/>
    <w:rsid w:val="006F61C3"/>
    <w:rsid w:val="006F7546"/>
    <w:rsid w:val="00700495"/>
    <w:rsid w:val="00700AEC"/>
    <w:rsid w:val="00701194"/>
    <w:rsid w:val="007016B1"/>
    <w:rsid w:val="0070375B"/>
    <w:rsid w:val="00705564"/>
    <w:rsid w:val="007064D1"/>
    <w:rsid w:val="0071000B"/>
    <w:rsid w:val="007112AF"/>
    <w:rsid w:val="00713691"/>
    <w:rsid w:val="0071564F"/>
    <w:rsid w:val="00720556"/>
    <w:rsid w:val="00721BD6"/>
    <w:rsid w:val="00721ECC"/>
    <w:rsid w:val="00721FF0"/>
    <w:rsid w:val="00722DD9"/>
    <w:rsid w:val="0072548B"/>
    <w:rsid w:val="00725682"/>
    <w:rsid w:val="007269A4"/>
    <w:rsid w:val="00730182"/>
    <w:rsid w:val="00732018"/>
    <w:rsid w:val="007333DB"/>
    <w:rsid w:val="00733E60"/>
    <w:rsid w:val="00734BF0"/>
    <w:rsid w:val="00734E14"/>
    <w:rsid w:val="007358D4"/>
    <w:rsid w:val="00736CC9"/>
    <w:rsid w:val="00737A72"/>
    <w:rsid w:val="00737D3F"/>
    <w:rsid w:val="007400E0"/>
    <w:rsid w:val="00740D11"/>
    <w:rsid w:val="007420CC"/>
    <w:rsid w:val="007420E8"/>
    <w:rsid w:val="00742808"/>
    <w:rsid w:val="00743C96"/>
    <w:rsid w:val="00745FC7"/>
    <w:rsid w:val="00746653"/>
    <w:rsid w:val="00746699"/>
    <w:rsid w:val="00746BCB"/>
    <w:rsid w:val="00747E14"/>
    <w:rsid w:val="007506CA"/>
    <w:rsid w:val="0075339C"/>
    <w:rsid w:val="00753442"/>
    <w:rsid w:val="00754000"/>
    <w:rsid w:val="0075584E"/>
    <w:rsid w:val="007569C0"/>
    <w:rsid w:val="00756EFF"/>
    <w:rsid w:val="00757282"/>
    <w:rsid w:val="0075758D"/>
    <w:rsid w:val="00757D7F"/>
    <w:rsid w:val="00757E2B"/>
    <w:rsid w:val="00760447"/>
    <w:rsid w:val="00760C76"/>
    <w:rsid w:val="00760FA3"/>
    <w:rsid w:val="00761DD0"/>
    <w:rsid w:val="007623A6"/>
    <w:rsid w:val="00763CB4"/>
    <w:rsid w:val="00765019"/>
    <w:rsid w:val="00767DE4"/>
    <w:rsid w:val="00770F20"/>
    <w:rsid w:val="00771BDB"/>
    <w:rsid w:val="00772B1A"/>
    <w:rsid w:val="00774ED6"/>
    <w:rsid w:val="00776C9E"/>
    <w:rsid w:val="00780B22"/>
    <w:rsid w:val="0078114B"/>
    <w:rsid w:val="00781799"/>
    <w:rsid w:val="007830DD"/>
    <w:rsid w:val="00784AE6"/>
    <w:rsid w:val="00784CA4"/>
    <w:rsid w:val="00784D51"/>
    <w:rsid w:val="0078521D"/>
    <w:rsid w:val="00785C40"/>
    <w:rsid w:val="00785CC6"/>
    <w:rsid w:val="00786F43"/>
    <w:rsid w:val="007870AB"/>
    <w:rsid w:val="00787769"/>
    <w:rsid w:val="0079060C"/>
    <w:rsid w:val="00792F17"/>
    <w:rsid w:val="00794E0D"/>
    <w:rsid w:val="00795740"/>
    <w:rsid w:val="007957E4"/>
    <w:rsid w:val="00797162"/>
    <w:rsid w:val="007A0742"/>
    <w:rsid w:val="007A2DB4"/>
    <w:rsid w:val="007A31E6"/>
    <w:rsid w:val="007A3201"/>
    <w:rsid w:val="007A3734"/>
    <w:rsid w:val="007A4951"/>
    <w:rsid w:val="007A5EC1"/>
    <w:rsid w:val="007A5F2E"/>
    <w:rsid w:val="007A60C3"/>
    <w:rsid w:val="007A6334"/>
    <w:rsid w:val="007A69E3"/>
    <w:rsid w:val="007A78B2"/>
    <w:rsid w:val="007A7D92"/>
    <w:rsid w:val="007B1943"/>
    <w:rsid w:val="007B1D8C"/>
    <w:rsid w:val="007B2424"/>
    <w:rsid w:val="007B39B5"/>
    <w:rsid w:val="007B76CF"/>
    <w:rsid w:val="007C0637"/>
    <w:rsid w:val="007C06DB"/>
    <w:rsid w:val="007C07F2"/>
    <w:rsid w:val="007C3666"/>
    <w:rsid w:val="007C442F"/>
    <w:rsid w:val="007C4873"/>
    <w:rsid w:val="007C52C9"/>
    <w:rsid w:val="007C6B13"/>
    <w:rsid w:val="007C7289"/>
    <w:rsid w:val="007C7F1C"/>
    <w:rsid w:val="007D26D0"/>
    <w:rsid w:val="007D2F6E"/>
    <w:rsid w:val="007D3256"/>
    <w:rsid w:val="007D46E8"/>
    <w:rsid w:val="007D502C"/>
    <w:rsid w:val="007D542C"/>
    <w:rsid w:val="007D55F3"/>
    <w:rsid w:val="007D6DE9"/>
    <w:rsid w:val="007D71B9"/>
    <w:rsid w:val="007E01BD"/>
    <w:rsid w:val="007E03DA"/>
    <w:rsid w:val="007E12B5"/>
    <w:rsid w:val="007E21C1"/>
    <w:rsid w:val="007E35AA"/>
    <w:rsid w:val="007E5DC0"/>
    <w:rsid w:val="007E6E61"/>
    <w:rsid w:val="007E7CC7"/>
    <w:rsid w:val="007F12B7"/>
    <w:rsid w:val="007F228D"/>
    <w:rsid w:val="007F25A9"/>
    <w:rsid w:val="007F27D7"/>
    <w:rsid w:val="007F33A7"/>
    <w:rsid w:val="007F7311"/>
    <w:rsid w:val="008002E6"/>
    <w:rsid w:val="00800944"/>
    <w:rsid w:val="00801036"/>
    <w:rsid w:val="00801575"/>
    <w:rsid w:val="00803C35"/>
    <w:rsid w:val="00804F81"/>
    <w:rsid w:val="0080764D"/>
    <w:rsid w:val="008106CA"/>
    <w:rsid w:val="008107B2"/>
    <w:rsid w:val="00810A9C"/>
    <w:rsid w:val="00810E4C"/>
    <w:rsid w:val="00811D7A"/>
    <w:rsid w:val="008132FD"/>
    <w:rsid w:val="00813D21"/>
    <w:rsid w:val="00813D5B"/>
    <w:rsid w:val="00815D71"/>
    <w:rsid w:val="00816D5E"/>
    <w:rsid w:val="00820836"/>
    <w:rsid w:val="0082164E"/>
    <w:rsid w:val="00821E9A"/>
    <w:rsid w:val="008231BA"/>
    <w:rsid w:val="008236C3"/>
    <w:rsid w:val="00823CAB"/>
    <w:rsid w:val="00824E2B"/>
    <w:rsid w:val="00826779"/>
    <w:rsid w:val="00826980"/>
    <w:rsid w:val="008302D6"/>
    <w:rsid w:val="00830674"/>
    <w:rsid w:val="008306DE"/>
    <w:rsid w:val="00830CE7"/>
    <w:rsid w:val="008313B2"/>
    <w:rsid w:val="008317AE"/>
    <w:rsid w:val="00831D28"/>
    <w:rsid w:val="00831E17"/>
    <w:rsid w:val="008321F6"/>
    <w:rsid w:val="00832B98"/>
    <w:rsid w:val="00833627"/>
    <w:rsid w:val="00834FEF"/>
    <w:rsid w:val="0083592F"/>
    <w:rsid w:val="008361BE"/>
    <w:rsid w:val="0083769F"/>
    <w:rsid w:val="00837F0A"/>
    <w:rsid w:val="00840199"/>
    <w:rsid w:val="008401D7"/>
    <w:rsid w:val="008405A7"/>
    <w:rsid w:val="008406C7"/>
    <w:rsid w:val="0084130A"/>
    <w:rsid w:val="0084171E"/>
    <w:rsid w:val="00841C1C"/>
    <w:rsid w:val="00842423"/>
    <w:rsid w:val="008477B5"/>
    <w:rsid w:val="0085224F"/>
    <w:rsid w:val="00852A75"/>
    <w:rsid w:val="00853B1B"/>
    <w:rsid w:val="008577D4"/>
    <w:rsid w:val="00860204"/>
    <w:rsid w:val="00860BCB"/>
    <w:rsid w:val="00860DDC"/>
    <w:rsid w:val="00862065"/>
    <w:rsid w:val="00863D30"/>
    <w:rsid w:val="00863DB6"/>
    <w:rsid w:val="00863FD0"/>
    <w:rsid w:val="008651BA"/>
    <w:rsid w:val="00865A6D"/>
    <w:rsid w:val="00865FC5"/>
    <w:rsid w:val="00867539"/>
    <w:rsid w:val="00867DBB"/>
    <w:rsid w:val="00870BB3"/>
    <w:rsid w:val="00870FE9"/>
    <w:rsid w:val="00871B0F"/>
    <w:rsid w:val="008720D8"/>
    <w:rsid w:val="0087367F"/>
    <w:rsid w:val="00873A06"/>
    <w:rsid w:val="00874D70"/>
    <w:rsid w:val="00875555"/>
    <w:rsid w:val="00875F47"/>
    <w:rsid w:val="00882331"/>
    <w:rsid w:val="00883E6C"/>
    <w:rsid w:val="00883FAB"/>
    <w:rsid w:val="0088440C"/>
    <w:rsid w:val="00885810"/>
    <w:rsid w:val="008862B5"/>
    <w:rsid w:val="00886462"/>
    <w:rsid w:val="0088721E"/>
    <w:rsid w:val="0088740B"/>
    <w:rsid w:val="00887544"/>
    <w:rsid w:val="00890490"/>
    <w:rsid w:val="008908F5"/>
    <w:rsid w:val="00890A4C"/>
    <w:rsid w:val="00890DDA"/>
    <w:rsid w:val="00891914"/>
    <w:rsid w:val="00892224"/>
    <w:rsid w:val="008937DA"/>
    <w:rsid w:val="008945FD"/>
    <w:rsid w:val="008951AC"/>
    <w:rsid w:val="008961B7"/>
    <w:rsid w:val="0089637A"/>
    <w:rsid w:val="0089677E"/>
    <w:rsid w:val="00896C73"/>
    <w:rsid w:val="008971A9"/>
    <w:rsid w:val="008974E7"/>
    <w:rsid w:val="008978CC"/>
    <w:rsid w:val="00897A5B"/>
    <w:rsid w:val="008A027A"/>
    <w:rsid w:val="008A1032"/>
    <w:rsid w:val="008A1053"/>
    <w:rsid w:val="008A1F2E"/>
    <w:rsid w:val="008A2418"/>
    <w:rsid w:val="008A377A"/>
    <w:rsid w:val="008A51A7"/>
    <w:rsid w:val="008A6931"/>
    <w:rsid w:val="008B01CC"/>
    <w:rsid w:val="008B1D55"/>
    <w:rsid w:val="008B5987"/>
    <w:rsid w:val="008B67D7"/>
    <w:rsid w:val="008B6FE5"/>
    <w:rsid w:val="008B76D2"/>
    <w:rsid w:val="008B776F"/>
    <w:rsid w:val="008C04EC"/>
    <w:rsid w:val="008C097F"/>
    <w:rsid w:val="008C2312"/>
    <w:rsid w:val="008C2A3C"/>
    <w:rsid w:val="008C2E65"/>
    <w:rsid w:val="008C34BC"/>
    <w:rsid w:val="008C37C8"/>
    <w:rsid w:val="008C392B"/>
    <w:rsid w:val="008C4474"/>
    <w:rsid w:val="008C4EB9"/>
    <w:rsid w:val="008D0652"/>
    <w:rsid w:val="008D0BF5"/>
    <w:rsid w:val="008D114B"/>
    <w:rsid w:val="008D5E04"/>
    <w:rsid w:val="008D7DDB"/>
    <w:rsid w:val="008E08F8"/>
    <w:rsid w:val="008E1F19"/>
    <w:rsid w:val="008E48AC"/>
    <w:rsid w:val="008F11E2"/>
    <w:rsid w:val="008F2097"/>
    <w:rsid w:val="008F3660"/>
    <w:rsid w:val="008F3F09"/>
    <w:rsid w:val="008F60F9"/>
    <w:rsid w:val="008F7B87"/>
    <w:rsid w:val="00901CCF"/>
    <w:rsid w:val="00902C55"/>
    <w:rsid w:val="00905802"/>
    <w:rsid w:val="00906098"/>
    <w:rsid w:val="0090707A"/>
    <w:rsid w:val="00907206"/>
    <w:rsid w:val="0090744F"/>
    <w:rsid w:val="00907611"/>
    <w:rsid w:val="00907D5A"/>
    <w:rsid w:val="00910EC6"/>
    <w:rsid w:val="00911C69"/>
    <w:rsid w:val="009129DD"/>
    <w:rsid w:val="00912DEC"/>
    <w:rsid w:val="0091364C"/>
    <w:rsid w:val="009149A9"/>
    <w:rsid w:val="00914C10"/>
    <w:rsid w:val="00914CB6"/>
    <w:rsid w:val="00915D80"/>
    <w:rsid w:val="00916308"/>
    <w:rsid w:val="00917556"/>
    <w:rsid w:val="009175E5"/>
    <w:rsid w:val="009205BD"/>
    <w:rsid w:val="009209E2"/>
    <w:rsid w:val="00920AD0"/>
    <w:rsid w:val="00920B88"/>
    <w:rsid w:val="00923923"/>
    <w:rsid w:val="0092483D"/>
    <w:rsid w:val="009258F6"/>
    <w:rsid w:val="0092595A"/>
    <w:rsid w:val="00926BBA"/>
    <w:rsid w:val="00927F3E"/>
    <w:rsid w:val="00930562"/>
    <w:rsid w:val="0093084B"/>
    <w:rsid w:val="00930A46"/>
    <w:rsid w:val="00930D8F"/>
    <w:rsid w:val="0093157A"/>
    <w:rsid w:val="009322A7"/>
    <w:rsid w:val="009322EF"/>
    <w:rsid w:val="00933FEE"/>
    <w:rsid w:val="00934A69"/>
    <w:rsid w:val="00936722"/>
    <w:rsid w:val="009376A3"/>
    <w:rsid w:val="00937836"/>
    <w:rsid w:val="00937CD1"/>
    <w:rsid w:val="009405F0"/>
    <w:rsid w:val="00940DE1"/>
    <w:rsid w:val="009410CF"/>
    <w:rsid w:val="0094210A"/>
    <w:rsid w:val="00942356"/>
    <w:rsid w:val="00945087"/>
    <w:rsid w:val="009451C2"/>
    <w:rsid w:val="0094536D"/>
    <w:rsid w:val="00946F8D"/>
    <w:rsid w:val="00947449"/>
    <w:rsid w:val="0095018E"/>
    <w:rsid w:val="00950C28"/>
    <w:rsid w:val="00951409"/>
    <w:rsid w:val="0095143A"/>
    <w:rsid w:val="0095144D"/>
    <w:rsid w:val="00952605"/>
    <w:rsid w:val="009528ED"/>
    <w:rsid w:val="00952A72"/>
    <w:rsid w:val="00952AE6"/>
    <w:rsid w:val="009548FE"/>
    <w:rsid w:val="00954B36"/>
    <w:rsid w:val="009558BD"/>
    <w:rsid w:val="009601E0"/>
    <w:rsid w:val="00960D5E"/>
    <w:rsid w:val="00964509"/>
    <w:rsid w:val="00965A62"/>
    <w:rsid w:val="00965A8D"/>
    <w:rsid w:val="00966C54"/>
    <w:rsid w:val="0096730B"/>
    <w:rsid w:val="0096739F"/>
    <w:rsid w:val="009678FD"/>
    <w:rsid w:val="0097267E"/>
    <w:rsid w:val="00972CB3"/>
    <w:rsid w:val="00975828"/>
    <w:rsid w:val="009759C0"/>
    <w:rsid w:val="00975DA4"/>
    <w:rsid w:val="0097649D"/>
    <w:rsid w:val="00976EC3"/>
    <w:rsid w:val="00977588"/>
    <w:rsid w:val="00977987"/>
    <w:rsid w:val="0098287F"/>
    <w:rsid w:val="00982A30"/>
    <w:rsid w:val="009836BE"/>
    <w:rsid w:val="00984601"/>
    <w:rsid w:val="00984F86"/>
    <w:rsid w:val="009853EE"/>
    <w:rsid w:val="00985797"/>
    <w:rsid w:val="00986463"/>
    <w:rsid w:val="009867FF"/>
    <w:rsid w:val="00990627"/>
    <w:rsid w:val="00990A28"/>
    <w:rsid w:val="00990D29"/>
    <w:rsid w:val="009916C7"/>
    <w:rsid w:val="00991817"/>
    <w:rsid w:val="00991914"/>
    <w:rsid w:val="00992276"/>
    <w:rsid w:val="009922CD"/>
    <w:rsid w:val="009944E0"/>
    <w:rsid w:val="009965A7"/>
    <w:rsid w:val="009A0A5F"/>
    <w:rsid w:val="009A14E1"/>
    <w:rsid w:val="009A1567"/>
    <w:rsid w:val="009A32F5"/>
    <w:rsid w:val="009A4397"/>
    <w:rsid w:val="009A4B80"/>
    <w:rsid w:val="009A5462"/>
    <w:rsid w:val="009A58EC"/>
    <w:rsid w:val="009A5BBB"/>
    <w:rsid w:val="009A6C21"/>
    <w:rsid w:val="009A70F0"/>
    <w:rsid w:val="009A7DF7"/>
    <w:rsid w:val="009B0310"/>
    <w:rsid w:val="009B09C6"/>
    <w:rsid w:val="009B13D3"/>
    <w:rsid w:val="009B1ACA"/>
    <w:rsid w:val="009B2112"/>
    <w:rsid w:val="009B3566"/>
    <w:rsid w:val="009B4A2A"/>
    <w:rsid w:val="009B5780"/>
    <w:rsid w:val="009C08A0"/>
    <w:rsid w:val="009C0A02"/>
    <w:rsid w:val="009C11F4"/>
    <w:rsid w:val="009C143D"/>
    <w:rsid w:val="009C2922"/>
    <w:rsid w:val="009C2FC2"/>
    <w:rsid w:val="009C3782"/>
    <w:rsid w:val="009C3BD8"/>
    <w:rsid w:val="009C4B02"/>
    <w:rsid w:val="009D0B61"/>
    <w:rsid w:val="009D1313"/>
    <w:rsid w:val="009D182C"/>
    <w:rsid w:val="009D21C8"/>
    <w:rsid w:val="009D2960"/>
    <w:rsid w:val="009D2B1F"/>
    <w:rsid w:val="009D4ED5"/>
    <w:rsid w:val="009D5869"/>
    <w:rsid w:val="009D6BC0"/>
    <w:rsid w:val="009D6D9F"/>
    <w:rsid w:val="009D7CE9"/>
    <w:rsid w:val="009D7E09"/>
    <w:rsid w:val="009E031E"/>
    <w:rsid w:val="009E1DFA"/>
    <w:rsid w:val="009E40DD"/>
    <w:rsid w:val="009E56B5"/>
    <w:rsid w:val="009E585B"/>
    <w:rsid w:val="009E6BFC"/>
    <w:rsid w:val="009E74C5"/>
    <w:rsid w:val="009E776F"/>
    <w:rsid w:val="009F0482"/>
    <w:rsid w:val="009F0C2E"/>
    <w:rsid w:val="009F0DB1"/>
    <w:rsid w:val="009F2104"/>
    <w:rsid w:val="009F2584"/>
    <w:rsid w:val="009F2800"/>
    <w:rsid w:val="009F29AD"/>
    <w:rsid w:val="009F31A1"/>
    <w:rsid w:val="009F32DB"/>
    <w:rsid w:val="009F378B"/>
    <w:rsid w:val="009F439D"/>
    <w:rsid w:val="009F4EB6"/>
    <w:rsid w:val="009F6808"/>
    <w:rsid w:val="009F703D"/>
    <w:rsid w:val="00A00717"/>
    <w:rsid w:val="00A00951"/>
    <w:rsid w:val="00A012FF"/>
    <w:rsid w:val="00A016C0"/>
    <w:rsid w:val="00A034E8"/>
    <w:rsid w:val="00A03655"/>
    <w:rsid w:val="00A03BF8"/>
    <w:rsid w:val="00A056EE"/>
    <w:rsid w:val="00A066EA"/>
    <w:rsid w:val="00A06CEB"/>
    <w:rsid w:val="00A1300D"/>
    <w:rsid w:val="00A145FC"/>
    <w:rsid w:val="00A17418"/>
    <w:rsid w:val="00A209E3"/>
    <w:rsid w:val="00A21B6A"/>
    <w:rsid w:val="00A22797"/>
    <w:rsid w:val="00A2594E"/>
    <w:rsid w:val="00A2673F"/>
    <w:rsid w:val="00A3062E"/>
    <w:rsid w:val="00A30F8F"/>
    <w:rsid w:val="00A32C0E"/>
    <w:rsid w:val="00A32EFD"/>
    <w:rsid w:val="00A3358B"/>
    <w:rsid w:val="00A35F40"/>
    <w:rsid w:val="00A36004"/>
    <w:rsid w:val="00A40524"/>
    <w:rsid w:val="00A409A4"/>
    <w:rsid w:val="00A4131F"/>
    <w:rsid w:val="00A45004"/>
    <w:rsid w:val="00A46853"/>
    <w:rsid w:val="00A46EF7"/>
    <w:rsid w:val="00A47342"/>
    <w:rsid w:val="00A5278B"/>
    <w:rsid w:val="00A529C0"/>
    <w:rsid w:val="00A52E90"/>
    <w:rsid w:val="00A53896"/>
    <w:rsid w:val="00A53900"/>
    <w:rsid w:val="00A5500C"/>
    <w:rsid w:val="00A55D15"/>
    <w:rsid w:val="00A56C27"/>
    <w:rsid w:val="00A56DA2"/>
    <w:rsid w:val="00A60D25"/>
    <w:rsid w:val="00A64632"/>
    <w:rsid w:val="00A6575E"/>
    <w:rsid w:val="00A65E12"/>
    <w:rsid w:val="00A66021"/>
    <w:rsid w:val="00A66A79"/>
    <w:rsid w:val="00A66FC6"/>
    <w:rsid w:val="00A67467"/>
    <w:rsid w:val="00A67A8C"/>
    <w:rsid w:val="00A7088F"/>
    <w:rsid w:val="00A7196F"/>
    <w:rsid w:val="00A71D48"/>
    <w:rsid w:val="00A72CDF"/>
    <w:rsid w:val="00A730E3"/>
    <w:rsid w:val="00A73361"/>
    <w:rsid w:val="00A74B2E"/>
    <w:rsid w:val="00A758F4"/>
    <w:rsid w:val="00A76A82"/>
    <w:rsid w:val="00A77BB3"/>
    <w:rsid w:val="00A81F6C"/>
    <w:rsid w:val="00A83A95"/>
    <w:rsid w:val="00A91660"/>
    <w:rsid w:val="00A9411B"/>
    <w:rsid w:val="00A943CA"/>
    <w:rsid w:val="00A94A12"/>
    <w:rsid w:val="00A95ABA"/>
    <w:rsid w:val="00A9668B"/>
    <w:rsid w:val="00AA0391"/>
    <w:rsid w:val="00AA0E28"/>
    <w:rsid w:val="00AA118E"/>
    <w:rsid w:val="00AA1F42"/>
    <w:rsid w:val="00AA1FDC"/>
    <w:rsid w:val="00AA347C"/>
    <w:rsid w:val="00AA51FF"/>
    <w:rsid w:val="00AA63E7"/>
    <w:rsid w:val="00AA66A4"/>
    <w:rsid w:val="00AA6CAA"/>
    <w:rsid w:val="00AA7061"/>
    <w:rsid w:val="00AB0A4C"/>
    <w:rsid w:val="00AB1709"/>
    <w:rsid w:val="00AB1AA8"/>
    <w:rsid w:val="00AB20B4"/>
    <w:rsid w:val="00AB3041"/>
    <w:rsid w:val="00AB3BDD"/>
    <w:rsid w:val="00AB3D2E"/>
    <w:rsid w:val="00AB4415"/>
    <w:rsid w:val="00AB46FD"/>
    <w:rsid w:val="00AB54F9"/>
    <w:rsid w:val="00AB694F"/>
    <w:rsid w:val="00AB6C79"/>
    <w:rsid w:val="00AB7905"/>
    <w:rsid w:val="00AB7B74"/>
    <w:rsid w:val="00AC0346"/>
    <w:rsid w:val="00AC078F"/>
    <w:rsid w:val="00AC0C1D"/>
    <w:rsid w:val="00AC1068"/>
    <w:rsid w:val="00AC1D75"/>
    <w:rsid w:val="00AC298F"/>
    <w:rsid w:val="00AC2E7C"/>
    <w:rsid w:val="00AC3ADB"/>
    <w:rsid w:val="00AC4054"/>
    <w:rsid w:val="00AC424B"/>
    <w:rsid w:val="00AC5419"/>
    <w:rsid w:val="00AC6612"/>
    <w:rsid w:val="00AC777E"/>
    <w:rsid w:val="00AD067A"/>
    <w:rsid w:val="00AD0EAF"/>
    <w:rsid w:val="00AD1007"/>
    <w:rsid w:val="00AD3235"/>
    <w:rsid w:val="00AD5870"/>
    <w:rsid w:val="00AD5C4D"/>
    <w:rsid w:val="00AD5E53"/>
    <w:rsid w:val="00AD6DC2"/>
    <w:rsid w:val="00AD7175"/>
    <w:rsid w:val="00AD7394"/>
    <w:rsid w:val="00AD7BA5"/>
    <w:rsid w:val="00AE02C3"/>
    <w:rsid w:val="00AE09B8"/>
    <w:rsid w:val="00AE35E2"/>
    <w:rsid w:val="00AE407C"/>
    <w:rsid w:val="00AE40AD"/>
    <w:rsid w:val="00AE4B00"/>
    <w:rsid w:val="00AE5259"/>
    <w:rsid w:val="00AE5BDE"/>
    <w:rsid w:val="00AE61A5"/>
    <w:rsid w:val="00AE6B15"/>
    <w:rsid w:val="00AE7150"/>
    <w:rsid w:val="00AF063C"/>
    <w:rsid w:val="00AF0B6C"/>
    <w:rsid w:val="00AF1245"/>
    <w:rsid w:val="00AF153D"/>
    <w:rsid w:val="00AF15AB"/>
    <w:rsid w:val="00AF1677"/>
    <w:rsid w:val="00AF2763"/>
    <w:rsid w:val="00AF5E03"/>
    <w:rsid w:val="00AF7161"/>
    <w:rsid w:val="00B000FF"/>
    <w:rsid w:val="00B0077B"/>
    <w:rsid w:val="00B00C34"/>
    <w:rsid w:val="00B02A63"/>
    <w:rsid w:val="00B0328B"/>
    <w:rsid w:val="00B03A54"/>
    <w:rsid w:val="00B03E26"/>
    <w:rsid w:val="00B04181"/>
    <w:rsid w:val="00B04CE3"/>
    <w:rsid w:val="00B0583F"/>
    <w:rsid w:val="00B0669C"/>
    <w:rsid w:val="00B06B06"/>
    <w:rsid w:val="00B07121"/>
    <w:rsid w:val="00B0728F"/>
    <w:rsid w:val="00B101F6"/>
    <w:rsid w:val="00B11C68"/>
    <w:rsid w:val="00B11E69"/>
    <w:rsid w:val="00B124E4"/>
    <w:rsid w:val="00B12C19"/>
    <w:rsid w:val="00B12E1D"/>
    <w:rsid w:val="00B133A1"/>
    <w:rsid w:val="00B15AE4"/>
    <w:rsid w:val="00B165E3"/>
    <w:rsid w:val="00B171EA"/>
    <w:rsid w:val="00B17419"/>
    <w:rsid w:val="00B222C9"/>
    <w:rsid w:val="00B24207"/>
    <w:rsid w:val="00B24A9B"/>
    <w:rsid w:val="00B308A3"/>
    <w:rsid w:val="00B3092A"/>
    <w:rsid w:val="00B31078"/>
    <w:rsid w:val="00B3268E"/>
    <w:rsid w:val="00B33815"/>
    <w:rsid w:val="00B33D16"/>
    <w:rsid w:val="00B341C1"/>
    <w:rsid w:val="00B347DC"/>
    <w:rsid w:val="00B35E7F"/>
    <w:rsid w:val="00B36160"/>
    <w:rsid w:val="00B36561"/>
    <w:rsid w:val="00B400EA"/>
    <w:rsid w:val="00B40306"/>
    <w:rsid w:val="00B407C6"/>
    <w:rsid w:val="00B41904"/>
    <w:rsid w:val="00B423C8"/>
    <w:rsid w:val="00B448A6"/>
    <w:rsid w:val="00B46129"/>
    <w:rsid w:val="00B4674A"/>
    <w:rsid w:val="00B46ADD"/>
    <w:rsid w:val="00B50649"/>
    <w:rsid w:val="00B50F48"/>
    <w:rsid w:val="00B52694"/>
    <w:rsid w:val="00B52B03"/>
    <w:rsid w:val="00B52CAB"/>
    <w:rsid w:val="00B535E8"/>
    <w:rsid w:val="00B57631"/>
    <w:rsid w:val="00B630CF"/>
    <w:rsid w:val="00B6328F"/>
    <w:rsid w:val="00B63F49"/>
    <w:rsid w:val="00B65358"/>
    <w:rsid w:val="00B65ACE"/>
    <w:rsid w:val="00B65C97"/>
    <w:rsid w:val="00B65EC2"/>
    <w:rsid w:val="00B6616F"/>
    <w:rsid w:val="00B66FE1"/>
    <w:rsid w:val="00B7007B"/>
    <w:rsid w:val="00B7023D"/>
    <w:rsid w:val="00B708B1"/>
    <w:rsid w:val="00B7110D"/>
    <w:rsid w:val="00B711FB"/>
    <w:rsid w:val="00B72BAD"/>
    <w:rsid w:val="00B73982"/>
    <w:rsid w:val="00B73ECE"/>
    <w:rsid w:val="00B74DFB"/>
    <w:rsid w:val="00B75D74"/>
    <w:rsid w:val="00B77029"/>
    <w:rsid w:val="00B77183"/>
    <w:rsid w:val="00B77A25"/>
    <w:rsid w:val="00B815A9"/>
    <w:rsid w:val="00B817E0"/>
    <w:rsid w:val="00B818C8"/>
    <w:rsid w:val="00B82738"/>
    <w:rsid w:val="00B83416"/>
    <w:rsid w:val="00B843CD"/>
    <w:rsid w:val="00B84AE8"/>
    <w:rsid w:val="00B86B09"/>
    <w:rsid w:val="00B86B3C"/>
    <w:rsid w:val="00B86B7A"/>
    <w:rsid w:val="00B87418"/>
    <w:rsid w:val="00B876EF"/>
    <w:rsid w:val="00B90BF3"/>
    <w:rsid w:val="00B92014"/>
    <w:rsid w:val="00B92767"/>
    <w:rsid w:val="00B94616"/>
    <w:rsid w:val="00B951EF"/>
    <w:rsid w:val="00B96979"/>
    <w:rsid w:val="00B97946"/>
    <w:rsid w:val="00BA0E76"/>
    <w:rsid w:val="00BA19EC"/>
    <w:rsid w:val="00BA1E39"/>
    <w:rsid w:val="00BA2225"/>
    <w:rsid w:val="00BA30A1"/>
    <w:rsid w:val="00BA39C4"/>
    <w:rsid w:val="00BA3BB4"/>
    <w:rsid w:val="00BA474B"/>
    <w:rsid w:val="00BA510E"/>
    <w:rsid w:val="00BB3926"/>
    <w:rsid w:val="00BB3AEE"/>
    <w:rsid w:val="00BB6334"/>
    <w:rsid w:val="00BC2097"/>
    <w:rsid w:val="00BC2AA4"/>
    <w:rsid w:val="00BC375A"/>
    <w:rsid w:val="00BC55A1"/>
    <w:rsid w:val="00BC618A"/>
    <w:rsid w:val="00BD25BF"/>
    <w:rsid w:val="00BD32FA"/>
    <w:rsid w:val="00BD4FDC"/>
    <w:rsid w:val="00BD5667"/>
    <w:rsid w:val="00BD6D7C"/>
    <w:rsid w:val="00BE0054"/>
    <w:rsid w:val="00BE0F2C"/>
    <w:rsid w:val="00BE0F82"/>
    <w:rsid w:val="00BE11C4"/>
    <w:rsid w:val="00BE1CB8"/>
    <w:rsid w:val="00BE1DE5"/>
    <w:rsid w:val="00BE309E"/>
    <w:rsid w:val="00BE3476"/>
    <w:rsid w:val="00BE3942"/>
    <w:rsid w:val="00BE41DE"/>
    <w:rsid w:val="00BE51FD"/>
    <w:rsid w:val="00BE5796"/>
    <w:rsid w:val="00BE5D49"/>
    <w:rsid w:val="00BE79B4"/>
    <w:rsid w:val="00BF0778"/>
    <w:rsid w:val="00BF13A5"/>
    <w:rsid w:val="00BF1DA5"/>
    <w:rsid w:val="00BF243B"/>
    <w:rsid w:val="00BF2441"/>
    <w:rsid w:val="00BF2689"/>
    <w:rsid w:val="00BF283C"/>
    <w:rsid w:val="00BF2914"/>
    <w:rsid w:val="00BF3213"/>
    <w:rsid w:val="00BF3F63"/>
    <w:rsid w:val="00BF44BF"/>
    <w:rsid w:val="00BF5896"/>
    <w:rsid w:val="00BF760E"/>
    <w:rsid w:val="00C00872"/>
    <w:rsid w:val="00C02243"/>
    <w:rsid w:val="00C0266B"/>
    <w:rsid w:val="00C03F67"/>
    <w:rsid w:val="00C0489E"/>
    <w:rsid w:val="00C04C66"/>
    <w:rsid w:val="00C04E48"/>
    <w:rsid w:val="00C05EBE"/>
    <w:rsid w:val="00C06F93"/>
    <w:rsid w:val="00C07061"/>
    <w:rsid w:val="00C0725D"/>
    <w:rsid w:val="00C10437"/>
    <w:rsid w:val="00C107BE"/>
    <w:rsid w:val="00C10B14"/>
    <w:rsid w:val="00C116D2"/>
    <w:rsid w:val="00C11A77"/>
    <w:rsid w:val="00C126FA"/>
    <w:rsid w:val="00C12952"/>
    <w:rsid w:val="00C14230"/>
    <w:rsid w:val="00C1633A"/>
    <w:rsid w:val="00C167AC"/>
    <w:rsid w:val="00C220E7"/>
    <w:rsid w:val="00C22229"/>
    <w:rsid w:val="00C22776"/>
    <w:rsid w:val="00C2476B"/>
    <w:rsid w:val="00C250DA"/>
    <w:rsid w:val="00C25E5D"/>
    <w:rsid w:val="00C26A5D"/>
    <w:rsid w:val="00C3000A"/>
    <w:rsid w:val="00C30101"/>
    <w:rsid w:val="00C32997"/>
    <w:rsid w:val="00C3386A"/>
    <w:rsid w:val="00C35333"/>
    <w:rsid w:val="00C374B1"/>
    <w:rsid w:val="00C40CEC"/>
    <w:rsid w:val="00C424C7"/>
    <w:rsid w:val="00C42C0F"/>
    <w:rsid w:val="00C43038"/>
    <w:rsid w:val="00C430E3"/>
    <w:rsid w:val="00C43613"/>
    <w:rsid w:val="00C45F57"/>
    <w:rsid w:val="00C46500"/>
    <w:rsid w:val="00C50250"/>
    <w:rsid w:val="00C50C98"/>
    <w:rsid w:val="00C50F3C"/>
    <w:rsid w:val="00C51EDF"/>
    <w:rsid w:val="00C5250C"/>
    <w:rsid w:val="00C559EA"/>
    <w:rsid w:val="00C55A7D"/>
    <w:rsid w:val="00C56917"/>
    <w:rsid w:val="00C56936"/>
    <w:rsid w:val="00C62CB0"/>
    <w:rsid w:val="00C63ECE"/>
    <w:rsid w:val="00C64F66"/>
    <w:rsid w:val="00C671F1"/>
    <w:rsid w:val="00C700AE"/>
    <w:rsid w:val="00C72DC4"/>
    <w:rsid w:val="00C72E1E"/>
    <w:rsid w:val="00C74B7D"/>
    <w:rsid w:val="00C75296"/>
    <w:rsid w:val="00C75E32"/>
    <w:rsid w:val="00C764DA"/>
    <w:rsid w:val="00C767EA"/>
    <w:rsid w:val="00C8145D"/>
    <w:rsid w:val="00C81DFC"/>
    <w:rsid w:val="00C854EB"/>
    <w:rsid w:val="00C8592B"/>
    <w:rsid w:val="00C85EA8"/>
    <w:rsid w:val="00C86BD4"/>
    <w:rsid w:val="00C913CC"/>
    <w:rsid w:val="00C94DF9"/>
    <w:rsid w:val="00C96E35"/>
    <w:rsid w:val="00CA0901"/>
    <w:rsid w:val="00CA19A4"/>
    <w:rsid w:val="00CA279F"/>
    <w:rsid w:val="00CA3DA2"/>
    <w:rsid w:val="00CA652B"/>
    <w:rsid w:val="00CA6FFD"/>
    <w:rsid w:val="00CA7199"/>
    <w:rsid w:val="00CB001B"/>
    <w:rsid w:val="00CB0540"/>
    <w:rsid w:val="00CB0B04"/>
    <w:rsid w:val="00CB2BAE"/>
    <w:rsid w:val="00CB303B"/>
    <w:rsid w:val="00CB481B"/>
    <w:rsid w:val="00CB6EAC"/>
    <w:rsid w:val="00CB6F73"/>
    <w:rsid w:val="00CB732D"/>
    <w:rsid w:val="00CB7F74"/>
    <w:rsid w:val="00CC14C1"/>
    <w:rsid w:val="00CC157B"/>
    <w:rsid w:val="00CC172B"/>
    <w:rsid w:val="00CC206B"/>
    <w:rsid w:val="00CC25EB"/>
    <w:rsid w:val="00CC3232"/>
    <w:rsid w:val="00CC3309"/>
    <w:rsid w:val="00CC4269"/>
    <w:rsid w:val="00CC4E5C"/>
    <w:rsid w:val="00CC5A84"/>
    <w:rsid w:val="00CC5EE7"/>
    <w:rsid w:val="00CC6219"/>
    <w:rsid w:val="00CC70DC"/>
    <w:rsid w:val="00CC7CE2"/>
    <w:rsid w:val="00CD1819"/>
    <w:rsid w:val="00CD2896"/>
    <w:rsid w:val="00CD2CCE"/>
    <w:rsid w:val="00CD40C4"/>
    <w:rsid w:val="00CD44D2"/>
    <w:rsid w:val="00CD57D3"/>
    <w:rsid w:val="00CD6149"/>
    <w:rsid w:val="00CD69B2"/>
    <w:rsid w:val="00CD6FD1"/>
    <w:rsid w:val="00CD7049"/>
    <w:rsid w:val="00CD7D98"/>
    <w:rsid w:val="00CE06EC"/>
    <w:rsid w:val="00CE19AF"/>
    <w:rsid w:val="00CE1D8D"/>
    <w:rsid w:val="00CE3598"/>
    <w:rsid w:val="00CE4A50"/>
    <w:rsid w:val="00CE64BC"/>
    <w:rsid w:val="00CE67B6"/>
    <w:rsid w:val="00CE6A45"/>
    <w:rsid w:val="00CF0A03"/>
    <w:rsid w:val="00CF1C30"/>
    <w:rsid w:val="00CF224A"/>
    <w:rsid w:val="00CF230E"/>
    <w:rsid w:val="00CF23E3"/>
    <w:rsid w:val="00CF328E"/>
    <w:rsid w:val="00CF380C"/>
    <w:rsid w:val="00CF3CDC"/>
    <w:rsid w:val="00CF6310"/>
    <w:rsid w:val="00CF6CE9"/>
    <w:rsid w:val="00CF7CD6"/>
    <w:rsid w:val="00D00C66"/>
    <w:rsid w:val="00D01253"/>
    <w:rsid w:val="00D01398"/>
    <w:rsid w:val="00D03688"/>
    <w:rsid w:val="00D0476F"/>
    <w:rsid w:val="00D056BF"/>
    <w:rsid w:val="00D05C93"/>
    <w:rsid w:val="00D06DA1"/>
    <w:rsid w:val="00D0746B"/>
    <w:rsid w:val="00D101B1"/>
    <w:rsid w:val="00D102B9"/>
    <w:rsid w:val="00D14E9B"/>
    <w:rsid w:val="00D14F79"/>
    <w:rsid w:val="00D1584D"/>
    <w:rsid w:val="00D15B80"/>
    <w:rsid w:val="00D16651"/>
    <w:rsid w:val="00D20263"/>
    <w:rsid w:val="00D21F09"/>
    <w:rsid w:val="00D22E03"/>
    <w:rsid w:val="00D238E8"/>
    <w:rsid w:val="00D24A23"/>
    <w:rsid w:val="00D25CA2"/>
    <w:rsid w:val="00D2737B"/>
    <w:rsid w:val="00D27A78"/>
    <w:rsid w:val="00D31467"/>
    <w:rsid w:val="00D3579F"/>
    <w:rsid w:val="00D363F6"/>
    <w:rsid w:val="00D36DD6"/>
    <w:rsid w:val="00D37B8E"/>
    <w:rsid w:val="00D400B5"/>
    <w:rsid w:val="00D4118C"/>
    <w:rsid w:val="00D41FA1"/>
    <w:rsid w:val="00D42C43"/>
    <w:rsid w:val="00D43C91"/>
    <w:rsid w:val="00D44FF9"/>
    <w:rsid w:val="00D45775"/>
    <w:rsid w:val="00D46228"/>
    <w:rsid w:val="00D4654C"/>
    <w:rsid w:val="00D46AAA"/>
    <w:rsid w:val="00D46AC3"/>
    <w:rsid w:val="00D46CB0"/>
    <w:rsid w:val="00D46DF1"/>
    <w:rsid w:val="00D51C9A"/>
    <w:rsid w:val="00D541DC"/>
    <w:rsid w:val="00D55318"/>
    <w:rsid w:val="00D56733"/>
    <w:rsid w:val="00D56AFD"/>
    <w:rsid w:val="00D6227C"/>
    <w:rsid w:val="00D62402"/>
    <w:rsid w:val="00D63C60"/>
    <w:rsid w:val="00D63FF1"/>
    <w:rsid w:val="00D64231"/>
    <w:rsid w:val="00D64683"/>
    <w:rsid w:val="00D651DD"/>
    <w:rsid w:val="00D65FD7"/>
    <w:rsid w:val="00D66ACF"/>
    <w:rsid w:val="00D70984"/>
    <w:rsid w:val="00D70BC5"/>
    <w:rsid w:val="00D71800"/>
    <w:rsid w:val="00D74FDA"/>
    <w:rsid w:val="00D7649C"/>
    <w:rsid w:val="00D82AD9"/>
    <w:rsid w:val="00D83165"/>
    <w:rsid w:val="00D8376F"/>
    <w:rsid w:val="00D86D9B"/>
    <w:rsid w:val="00D87E6F"/>
    <w:rsid w:val="00D9279B"/>
    <w:rsid w:val="00D92A8A"/>
    <w:rsid w:val="00D9387B"/>
    <w:rsid w:val="00D94630"/>
    <w:rsid w:val="00D94BD4"/>
    <w:rsid w:val="00D94E6E"/>
    <w:rsid w:val="00D96227"/>
    <w:rsid w:val="00D9633C"/>
    <w:rsid w:val="00D96679"/>
    <w:rsid w:val="00D97347"/>
    <w:rsid w:val="00D97BD6"/>
    <w:rsid w:val="00DA19BC"/>
    <w:rsid w:val="00DA4AE2"/>
    <w:rsid w:val="00DA5380"/>
    <w:rsid w:val="00DA5895"/>
    <w:rsid w:val="00DA6ACF"/>
    <w:rsid w:val="00DA776B"/>
    <w:rsid w:val="00DA79F6"/>
    <w:rsid w:val="00DB11F4"/>
    <w:rsid w:val="00DB1440"/>
    <w:rsid w:val="00DB2FF3"/>
    <w:rsid w:val="00DB552A"/>
    <w:rsid w:val="00DB5B36"/>
    <w:rsid w:val="00DB6685"/>
    <w:rsid w:val="00DB6850"/>
    <w:rsid w:val="00DB6C15"/>
    <w:rsid w:val="00DB74DE"/>
    <w:rsid w:val="00DC1CA3"/>
    <w:rsid w:val="00DC1DAC"/>
    <w:rsid w:val="00DC224F"/>
    <w:rsid w:val="00DC25CB"/>
    <w:rsid w:val="00DC393D"/>
    <w:rsid w:val="00DC511E"/>
    <w:rsid w:val="00DC5DD9"/>
    <w:rsid w:val="00DD091C"/>
    <w:rsid w:val="00DD26B1"/>
    <w:rsid w:val="00DD427D"/>
    <w:rsid w:val="00DD4C82"/>
    <w:rsid w:val="00DD5786"/>
    <w:rsid w:val="00DD66B5"/>
    <w:rsid w:val="00DE136D"/>
    <w:rsid w:val="00DE15B8"/>
    <w:rsid w:val="00DE3DFD"/>
    <w:rsid w:val="00DE584B"/>
    <w:rsid w:val="00DE6F54"/>
    <w:rsid w:val="00DE794D"/>
    <w:rsid w:val="00DE7C24"/>
    <w:rsid w:val="00DF02D6"/>
    <w:rsid w:val="00DF102A"/>
    <w:rsid w:val="00DF2A1D"/>
    <w:rsid w:val="00DF2D6D"/>
    <w:rsid w:val="00DF2E49"/>
    <w:rsid w:val="00DF4116"/>
    <w:rsid w:val="00DF5D49"/>
    <w:rsid w:val="00DF6A98"/>
    <w:rsid w:val="00E016ED"/>
    <w:rsid w:val="00E032D8"/>
    <w:rsid w:val="00E0344B"/>
    <w:rsid w:val="00E0405E"/>
    <w:rsid w:val="00E05182"/>
    <w:rsid w:val="00E0520E"/>
    <w:rsid w:val="00E05382"/>
    <w:rsid w:val="00E054BB"/>
    <w:rsid w:val="00E05DE6"/>
    <w:rsid w:val="00E06CC8"/>
    <w:rsid w:val="00E107B3"/>
    <w:rsid w:val="00E10F19"/>
    <w:rsid w:val="00E114DC"/>
    <w:rsid w:val="00E1181B"/>
    <w:rsid w:val="00E11E49"/>
    <w:rsid w:val="00E14272"/>
    <w:rsid w:val="00E1457C"/>
    <w:rsid w:val="00E14D21"/>
    <w:rsid w:val="00E15791"/>
    <w:rsid w:val="00E16C3F"/>
    <w:rsid w:val="00E1722D"/>
    <w:rsid w:val="00E1750C"/>
    <w:rsid w:val="00E200B1"/>
    <w:rsid w:val="00E20784"/>
    <w:rsid w:val="00E20CA3"/>
    <w:rsid w:val="00E23D18"/>
    <w:rsid w:val="00E240A5"/>
    <w:rsid w:val="00E245B2"/>
    <w:rsid w:val="00E247F0"/>
    <w:rsid w:val="00E24E94"/>
    <w:rsid w:val="00E25817"/>
    <w:rsid w:val="00E25A3C"/>
    <w:rsid w:val="00E25E6E"/>
    <w:rsid w:val="00E26336"/>
    <w:rsid w:val="00E266D4"/>
    <w:rsid w:val="00E307AD"/>
    <w:rsid w:val="00E308A5"/>
    <w:rsid w:val="00E3091B"/>
    <w:rsid w:val="00E3153D"/>
    <w:rsid w:val="00E3482E"/>
    <w:rsid w:val="00E3519C"/>
    <w:rsid w:val="00E3722F"/>
    <w:rsid w:val="00E37912"/>
    <w:rsid w:val="00E37B70"/>
    <w:rsid w:val="00E4194D"/>
    <w:rsid w:val="00E43F01"/>
    <w:rsid w:val="00E449A7"/>
    <w:rsid w:val="00E44A19"/>
    <w:rsid w:val="00E45DEC"/>
    <w:rsid w:val="00E465EC"/>
    <w:rsid w:val="00E46B33"/>
    <w:rsid w:val="00E515EB"/>
    <w:rsid w:val="00E523EB"/>
    <w:rsid w:val="00E530DB"/>
    <w:rsid w:val="00E6128B"/>
    <w:rsid w:val="00E617CE"/>
    <w:rsid w:val="00E62F3C"/>
    <w:rsid w:val="00E63478"/>
    <w:rsid w:val="00E63CFB"/>
    <w:rsid w:val="00E63EA7"/>
    <w:rsid w:val="00E644E0"/>
    <w:rsid w:val="00E65E72"/>
    <w:rsid w:val="00E6627D"/>
    <w:rsid w:val="00E665AA"/>
    <w:rsid w:val="00E679D7"/>
    <w:rsid w:val="00E701BC"/>
    <w:rsid w:val="00E70F72"/>
    <w:rsid w:val="00E7671D"/>
    <w:rsid w:val="00E76C6F"/>
    <w:rsid w:val="00E77246"/>
    <w:rsid w:val="00E772B2"/>
    <w:rsid w:val="00E80091"/>
    <w:rsid w:val="00E80344"/>
    <w:rsid w:val="00E80B46"/>
    <w:rsid w:val="00E80CCF"/>
    <w:rsid w:val="00E818AD"/>
    <w:rsid w:val="00E81ABF"/>
    <w:rsid w:val="00E83342"/>
    <w:rsid w:val="00E83763"/>
    <w:rsid w:val="00E848FF"/>
    <w:rsid w:val="00E84974"/>
    <w:rsid w:val="00E85EB4"/>
    <w:rsid w:val="00E8611D"/>
    <w:rsid w:val="00E87817"/>
    <w:rsid w:val="00E8794D"/>
    <w:rsid w:val="00E917E6"/>
    <w:rsid w:val="00E92021"/>
    <w:rsid w:val="00E92980"/>
    <w:rsid w:val="00E933F2"/>
    <w:rsid w:val="00E93838"/>
    <w:rsid w:val="00E95BF3"/>
    <w:rsid w:val="00E96D6B"/>
    <w:rsid w:val="00E97229"/>
    <w:rsid w:val="00EA1510"/>
    <w:rsid w:val="00EA21C9"/>
    <w:rsid w:val="00EA3FCF"/>
    <w:rsid w:val="00EA4294"/>
    <w:rsid w:val="00EA42E9"/>
    <w:rsid w:val="00EA499B"/>
    <w:rsid w:val="00EA4F20"/>
    <w:rsid w:val="00EA6050"/>
    <w:rsid w:val="00EA6552"/>
    <w:rsid w:val="00EA73DB"/>
    <w:rsid w:val="00EA77E5"/>
    <w:rsid w:val="00EB0C2C"/>
    <w:rsid w:val="00EB0E5E"/>
    <w:rsid w:val="00EB1EBB"/>
    <w:rsid w:val="00EB23AB"/>
    <w:rsid w:val="00EB30F1"/>
    <w:rsid w:val="00EB32EB"/>
    <w:rsid w:val="00EB4D7D"/>
    <w:rsid w:val="00EB5E0E"/>
    <w:rsid w:val="00EB6BC3"/>
    <w:rsid w:val="00EB70CD"/>
    <w:rsid w:val="00EB71B4"/>
    <w:rsid w:val="00EB736F"/>
    <w:rsid w:val="00EC0FD7"/>
    <w:rsid w:val="00EC2F5A"/>
    <w:rsid w:val="00EC5B6B"/>
    <w:rsid w:val="00ED02A1"/>
    <w:rsid w:val="00ED1498"/>
    <w:rsid w:val="00ED1FF5"/>
    <w:rsid w:val="00ED4A57"/>
    <w:rsid w:val="00ED6410"/>
    <w:rsid w:val="00EE04A5"/>
    <w:rsid w:val="00EE04CD"/>
    <w:rsid w:val="00EE1F40"/>
    <w:rsid w:val="00EE28AB"/>
    <w:rsid w:val="00EE326E"/>
    <w:rsid w:val="00EE34E9"/>
    <w:rsid w:val="00EE5CB2"/>
    <w:rsid w:val="00EE650F"/>
    <w:rsid w:val="00EE6DAD"/>
    <w:rsid w:val="00EF08E2"/>
    <w:rsid w:val="00EF14CF"/>
    <w:rsid w:val="00EF2923"/>
    <w:rsid w:val="00EF2A9D"/>
    <w:rsid w:val="00EF2EED"/>
    <w:rsid w:val="00EF3306"/>
    <w:rsid w:val="00EF36C8"/>
    <w:rsid w:val="00EF3AE1"/>
    <w:rsid w:val="00EF41DC"/>
    <w:rsid w:val="00EF5D3F"/>
    <w:rsid w:val="00EF712B"/>
    <w:rsid w:val="00EF77E5"/>
    <w:rsid w:val="00EF7D5A"/>
    <w:rsid w:val="00F008F3"/>
    <w:rsid w:val="00F00E6D"/>
    <w:rsid w:val="00F012F0"/>
    <w:rsid w:val="00F020DD"/>
    <w:rsid w:val="00F03617"/>
    <w:rsid w:val="00F04EF2"/>
    <w:rsid w:val="00F05860"/>
    <w:rsid w:val="00F05FA7"/>
    <w:rsid w:val="00F06535"/>
    <w:rsid w:val="00F06DF4"/>
    <w:rsid w:val="00F06E80"/>
    <w:rsid w:val="00F06EAB"/>
    <w:rsid w:val="00F101C0"/>
    <w:rsid w:val="00F10503"/>
    <w:rsid w:val="00F112EA"/>
    <w:rsid w:val="00F127BA"/>
    <w:rsid w:val="00F13519"/>
    <w:rsid w:val="00F14753"/>
    <w:rsid w:val="00F16C66"/>
    <w:rsid w:val="00F17781"/>
    <w:rsid w:val="00F21FC0"/>
    <w:rsid w:val="00F2325E"/>
    <w:rsid w:val="00F23E3D"/>
    <w:rsid w:val="00F24853"/>
    <w:rsid w:val="00F25C21"/>
    <w:rsid w:val="00F25F07"/>
    <w:rsid w:val="00F26B4C"/>
    <w:rsid w:val="00F26EB0"/>
    <w:rsid w:val="00F2797A"/>
    <w:rsid w:val="00F342ED"/>
    <w:rsid w:val="00F34C3E"/>
    <w:rsid w:val="00F34DA5"/>
    <w:rsid w:val="00F35EC8"/>
    <w:rsid w:val="00F36D1D"/>
    <w:rsid w:val="00F377A4"/>
    <w:rsid w:val="00F37BF1"/>
    <w:rsid w:val="00F4091A"/>
    <w:rsid w:val="00F41368"/>
    <w:rsid w:val="00F41834"/>
    <w:rsid w:val="00F44056"/>
    <w:rsid w:val="00F44420"/>
    <w:rsid w:val="00F45CFC"/>
    <w:rsid w:val="00F45F68"/>
    <w:rsid w:val="00F469BA"/>
    <w:rsid w:val="00F47C18"/>
    <w:rsid w:val="00F50437"/>
    <w:rsid w:val="00F5134A"/>
    <w:rsid w:val="00F52628"/>
    <w:rsid w:val="00F530D1"/>
    <w:rsid w:val="00F54BAD"/>
    <w:rsid w:val="00F5502C"/>
    <w:rsid w:val="00F55FA6"/>
    <w:rsid w:val="00F5774B"/>
    <w:rsid w:val="00F60480"/>
    <w:rsid w:val="00F61FE9"/>
    <w:rsid w:val="00F63C90"/>
    <w:rsid w:val="00F64D99"/>
    <w:rsid w:val="00F678E0"/>
    <w:rsid w:val="00F67CEC"/>
    <w:rsid w:val="00F703CA"/>
    <w:rsid w:val="00F7122C"/>
    <w:rsid w:val="00F715E6"/>
    <w:rsid w:val="00F715FD"/>
    <w:rsid w:val="00F7263B"/>
    <w:rsid w:val="00F732B5"/>
    <w:rsid w:val="00F733ED"/>
    <w:rsid w:val="00F743FE"/>
    <w:rsid w:val="00F75D94"/>
    <w:rsid w:val="00F75DF8"/>
    <w:rsid w:val="00F76B51"/>
    <w:rsid w:val="00F774B6"/>
    <w:rsid w:val="00F779BE"/>
    <w:rsid w:val="00F779CD"/>
    <w:rsid w:val="00F801A6"/>
    <w:rsid w:val="00F80A6A"/>
    <w:rsid w:val="00F80E1A"/>
    <w:rsid w:val="00F8149C"/>
    <w:rsid w:val="00F82F40"/>
    <w:rsid w:val="00F831C9"/>
    <w:rsid w:val="00F837B8"/>
    <w:rsid w:val="00F8430C"/>
    <w:rsid w:val="00F84D96"/>
    <w:rsid w:val="00F8690D"/>
    <w:rsid w:val="00F909BE"/>
    <w:rsid w:val="00F91422"/>
    <w:rsid w:val="00F9167A"/>
    <w:rsid w:val="00F91DBB"/>
    <w:rsid w:val="00F92866"/>
    <w:rsid w:val="00F9293F"/>
    <w:rsid w:val="00F961B9"/>
    <w:rsid w:val="00F97E5C"/>
    <w:rsid w:val="00FA0D3A"/>
    <w:rsid w:val="00FA145E"/>
    <w:rsid w:val="00FA20CA"/>
    <w:rsid w:val="00FA3EAA"/>
    <w:rsid w:val="00FA49AE"/>
    <w:rsid w:val="00FA4B6A"/>
    <w:rsid w:val="00FA7DD1"/>
    <w:rsid w:val="00FB094D"/>
    <w:rsid w:val="00FB1BE3"/>
    <w:rsid w:val="00FB202B"/>
    <w:rsid w:val="00FB2256"/>
    <w:rsid w:val="00FB2595"/>
    <w:rsid w:val="00FB2B62"/>
    <w:rsid w:val="00FB3398"/>
    <w:rsid w:val="00FB38B9"/>
    <w:rsid w:val="00FB3EF3"/>
    <w:rsid w:val="00FB497C"/>
    <w:rsid w:val="00FB4B0F"/>
    <w:rsid w:val="00FB4FC4"/>
    <w:rsid w:val="00FB50D6"/>
    <w:rsid w:val="00FB665C"/>
    <w:rsid w:val="00FB668B"/>
    <w:rsid w:val="00FC072E"/>
    <w:rsid w:val="00FC388D"/>
    <w:rsid w:val="00FC4DF9"/>
    <w:rsid w:val="00FC5AEE"/>
    <w:rsid w:val="00FC656E"/>
    <w:rsid w:val="00FC69C3"/>
    <w:rsid w:val="00FD46D1"/>
    <w:rsid w:val="00FD54DB"/>
    <w:rsid w:val="00FD58F2"/>
    <w:rsid w:val="00FD5E24"/>
    <w:rsid w:val="00FD6B91"/>
    <w:rsid w:val="00FE008E"/>
    <w:rsid w:val="00FE1080"/>
    <w:rsid w:val="00FE133D"/>
    <w:rsid w:val="00FE4D17"/>
    <w:rsid w:val="00FE4E04"/>
    <w:rsid w:val="00FE5427"/>
    <w:rsid w:val="00FE63A1"/>
    <w:rsid w:val="00FE71C5"/>
    <w:rsid w:val="00FF1DF1"/>
    <w:rsid w:val="00FF23BD"/>
    <w:rsid w:val="00FF25E8"/>
    <w:rsid w:val="00FF4CA5"/>
    <w:rsid w:val="00FF536D"/>
    <w:rsid w:val="00FF5408"/>
    <w:rsid w:val="00FF5B07"/>
    <w:rsid w:val="00FF623A"/>
    <w:rsid w:val="00FF6240"/>
    <w:rsid w:val="00FF6644"/>
    <w:rsid w:val="00FF680E"/>
    <w:rsid w:val="00FF6975"/>
    <w:rsid w:val="018207C5"/>
    <w:rsid w:val="028E3199"/>
    <w:rsid w:val="029F0571"/>
    <w:rsid w:val="045625A1"/>
    <w:rsid w:val="04957063"/>
    <w:rsid w:val="04C345A1"/>
    <w:rsid w:val="05972FDC"/>
    <w:rsid w:val="07F832D5"/>
    <w:rsid w:val="07FE66CB"/>
    <w:rsid w:val="08204893"/>
    <w:rsid w:val="08326375"/>
    <w:rsid w:val="08403DF8"/>
    <w:rsid w:val="08935C62"/>
    <w:rsid w:val="08B464F2"/>
    <w:rsid w:val="09007DE0"/>
    <w:rsid w:val="0CB94AAB"/>
    <w:rsid w:val="0D162709"/>
    <w:rsid w:val="0D5B5999"/>
    <w:rsid w:val="0DBE2B84"/>
    <w:rsid w:val="0DC51595"/>
    <w:rsid w:val="0E4E6D03"/>
    <w:rsid w:val="0EA24005"/>
    <w:rsid w:val="0F9928EF"/>
    <w:rsid w:val="10156CA8"/>
    <w:rsid w:val="10402909"/>
    <w:rsid w:val="104208F6"/>
    <w:rsid w:val="104D2A05"/>
    <w:rsid w:val="11833F44"/>
    <w:rsid w:val="1231466D"/>
    <w:rsid w:val="12E927BF"/>
    <w:rsid w:val="1384217A"/>
    <w:rsid w:val="145C4EA5"/>
    <w:rsid w:val="146E3519"/>
    <w:rsid w:val="14904B4F"/>
    <w:rsid w:val="14972C64"/>
    <w:rsid w:val="14BD72BF"/>
    <w:rsid w:val="15704DEE"/>
    <w:rsid w:val="15A27B86"/>
    <w:rsid w:val="16361726"/>
    <w:rsid w:val="16463906"/>
    <w:rsid w:val="169D0A70"/>
    <w:rsid w:val="16E96798"/>
    <w:rsid w:val="19532EA5"/>
    <w:rsid w:val="197E766C"/>
    <w:rsid w:val="198509FA"/>
    <w:rsid w:val="1A305AF3"/>
    <w:rsid w:val="1A4B5EA2"/>
    <w:rsid w:val="1BCB302C"/>
    <w:rsid w:val="1C174A2E"/>
    <w:rsid w:val="1C463390"/>
    <w:rsid w:val="1CE307A8"/>
    <w:rsid w:val="1D4B34D5"/>
    <w:rsid w:val="1E6334E5"/>
    <w:rsid w:val="1EB536BD"/>
    <w:rsid w:val="1F1225CF"/>
    <w:rsid w:val="1F37636D"/>
    <w:rsid w:val="1F5F691E"/>
    <w:rsid w:val="1F746482"/>
    <w:rsid w:val="1F8E59B8"/>
    <w:rsid w:val="20090899"/>
    <w:rsid w:val="21867BCC"/>
    <w:rsid w:val="21C5011E"/>
    <w:rsid w:val="21C85928"/>
    <w:rsid w:val="22525B39"/>
    <w:rsid w:val="22EC3DEA"/>
    <w:rsid w:val="238241FC"/>
    <w:rsid w:val="24392B0D"/>
    <w:rsid w:val="249C309C"/>
    <w:rsid w:val="255F583A"/>
    <w:rsid w:val="25B17DD7"/>
    <w:rsid w:val="25B51FE7"/>
    <w:rsid w:val="27BD7C90"/>
    <w:rsid w:val="27BF425E"/>
    <w:rsid w:val="289335D2"/>
    <w:rsid w:val="2A1536D4"/>
    <w:rsid w:val="2A655AFB"/>
    <w:rsid w:val="2AA410E7"/>
    <w:rsid w:val="2BA924ED"/>
    <w:rsid w:val="2BC674CC"/>
    <w:rsid w:val="2BEF61A7"/>
    <w:rsid w:val="2C7A7799"/>
    <w:rsid w:val="2CA06701"/>
    <w:rsid w:val="2CA635E8"/>
    <w:rsid w:val="2D0B0DBF"/>
    <w:rsid w:val="2D6418C1"/>
    <w:rsid w:val="2E1132D2"/>
    <w:rsid w:val="2E6E7857"/>
    <w:rsid w:val="2EBF3A83"/>
    <w:rsid w:val="3049057C"/>
    <w:rsid w:val="30CD2F5B"/>
    <w:rsid w:val="30E47124"/>
    <w:rsid w:val="31532AB8"/>
    <w:rsid w:val="31ED4F37"/>
    <w:rsid w:val="32412601"/>
    <w:rsid w:val="329C1ABF"/>
    <w:rsid w:val="331D184C"/>
    <w:rsid w:val="335039CF"/>
    <w:rsid w:val="338D69D1"/>
    <w:rsid w:val="338F6B9E"/>
    <w:rsid w:val="34C230AE"/>
    <w:rsid w:val="36300261"/>
    <w:rsid w:val="39C66799"/>
    <w:rsid w:val="3A4D6EBA"/>
    <w:rsid w:val="3A7510BF"/>
    <w:rsid w:val="3AC058DE"/>
    <w:rsid w:val="3AC76C6D"/>
    <w:rsid w:val="3B847530"/>
    <w:rsid w:val="3B9241ED"/>
    <w:rsid w:val="3C3E4D0D"/>
    <w:rsid w:val="3C3F28A5"/>
    <w:rsid w:val="3C6267FB"/>
    <w:rsid w:val="3D25459E"/>
    <w:rsid w:val="3DC851D5"/>
    <w:rsid w:val="3DDD43B6"/>
    <w:rsid w:val="3E7503C3"/>
    <w:rsid w:val="3E9171EE"/>
    <w:rsid w:val="3FCE63A8"/>
    <w:rsid w:val="4056454A"/>
    <w:rsid w:val="405D6255"/>
    <w:rsid w:val="40D4475C"/>
    <w:rsid w:val="42C27D1A"/>
    <w:rsid w:val="46442016"/>
    <w:rsid w:val="468E07C4"/>
    <w:rsid w:val="469B50A5"/>
    <w:rsid w:val="469F0A9E"/>
    <w:rsid w:val="471D091C"/>
    <w:rsid w:val="475D3DA8"/>
    <w:rsid w:val="47CD5197"/>
    <w:rsid w:val="47F77303"/>
    <w:rsid w:val="48786788"/>
    <w:rsid w:val="488C5501"/>
    <w:rsid w:val="489D2DBB"/>
    <w:rsid w:val="492F289E"/>
    <w:rsid w:val="49665E60"/>
    <w:rsid w:val="499C2EFC"/>
    <w:rsid w:val="4B532300"/>
    <w:rsid w:val="4B840262"/>
    <w:rsid w:val="4C285091"/>
    <w:rsid w:val="4C8B5357"/>
    <w:rsid w:val="4D632788"/>
    <w:rsid w:val="4D7202BF"/>
    <w:rsid w:val="4EA50F9A"/>
    <w:rsid w:val="4FDF63AF"/>
    <w:rsid w:val="50DF57F5"/>
    <w:rsid w:val="51A168A0"/>
    <w:rsid w:val="520A6D5D"/>
    <w:rsid w:val="52552958"/>
    <w:rsid w:val="5271018A"/>
    <w:rsid w:val="529B54F9"/>
    <w:rsid w:val="547E6196"/>
    <w:rsid w:val="555D5DAC"/>
    <w:rsid w:val="56F91B04"/>
    <w:rsid w:val="57211164"/>
    <w:rsid w:val="59B66EB3"/>
    <w:rsid w:val="5B0D5B7E"/>
    <w:rsid w:val="5B3848D2"/>
    <w:rsid w:val="5C4957A3"/>
    <w:rsid w:val="5CDA4186"/>
    <w:rsid w:val="5D07484F"/>
    <w:rsid w:val="5EA95969"/>
    <w:rsid w:val="5F2D2C93"/>
    <w:rsid w:val="5F2E6A0B"/>
    <w:rsid w:val="5F8B1768"/>
    <w:rsid w:val="5FB253E6"/>
    <w:rsid w:val="619C2EE2"/>
    <w:rsid w:val="61DC62AA"/>
    <w:rsid w:val="6204268B"/>
    <w:rsid w:val="6215521D"/>
    <w:rsid w:val="62CC58A4"/>
    <w:rsid w:val="63752A14"/>
    <w:rsid w:val="63BB7FC4"/>
    <w:rsid w:val="63C2595E"/>
    <w:rsid w:val="6693422C"/>
    <w:rsid w:val="66DD08BE"/>
    <w:rsid w:val="678418BE"/>
    <w:rsid w:val="67CA4DF7"/>
    <w:rsid w:val="6970721B"/>
    <w:rsid w:val="6A527A52"/>
    <w:rsid w:val="6AF61D7E"/>
    <w:rsid w:val="6C2B4727"/>
    <w:rsid w:val="6F0D3F47"/>
    <w:rsid w:val="70BC0902"/>
    <w:rsid w:val="731F249B"/>
    <w:rsid w:val="740B3C21"/>
    <w:rsid w:val="74237D69"/>
    <w:rsid w:val="759153C1"/>
    <w:rsid w:val="77063D2F"/>
    <w:rsid w:val="77A17922"/>
    <w:rsid w:val="784337E5"/>
    <w:rsid w:val="798B2638"/>
    <w:rsid w:val="79C63C7A"/>
    <w:rsid w:val="7AC92FA9"/>
    <w:rsid w:val="7B4B69B2"/>
    <w:rsid w:val="7D284642"/>
    <w:rsid w:val="7EE56DE4"/>
    <w:rsid w:val="7F365FF7"/>
    <w:rsid w:val="7FB163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3"/>
    <w:qFormat/>
    <w:uiPriority w:val="99"/>
    <w:pPr>
      <w:keepNext/>
      <w:keepLines/>
      <w:widowControl w:val="0"/>
      <w:spacing w:before="340" w:after="330" w:line="576" w:lineRule="auto"/>
      <w:textAlignment w:val="auto"/>
      <w:outlineLvl w:val="0"/>
    </w:pPr>
    <w:rPr>
      <w:b/>
      <w:bCs/>
      <w:color w:val="auto"/>
      <w:kern w:val="44"/>
      <w:sz w:val="44"/>
      <w:szCs w:val="44"/>
    </w:rPr>
  </w:style>
  <w:style w:type="paragraph" w:styleId="3">
    <w:name w:val="heading 3"/>
    <w:basedOn w:val="1"/>
    <w:next w:val="1"/>
    <w:link w:val="24"/>
    <w:qFormat/>
    <w:uiPriority w:val="99"/>
    <w:pPr>
      <w:keepNext/>
      <w:keepLines/>
      <w:spacing w:before="260" w:after="260" w:line="416" w:lineRule="atLeast"/>
      <w:outlineLvl w:val="2"/>
    </w:pPr>
    <w:rPr>
      <w:b/>
      <w:bCs/>
      <w:sz w:val="32"/>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4">
    <w:name w:val="annotation text"/>
    <w:basedOn w:val="1"/>
    <w:link w:val="64"/>
    <w:unhideWhenUsed/>
    <w:qFormat/>
    <w:locked/>
    <w:uiPriority w:val="99"/>
    <w:pPr>
      <w:jc w:val="left"/>
    </w:pPr>
  </w:style>
  <w:style w:type="paragraph" w:styleId="5">
    <w:name w:val="Body Text Indent"/>
    <w:basedOn w:val="1"/>
    <w:link w:val="25"/>
    <w:qFormat/>
    <w:uiPriority w:val="99"/>
    <w:pPr>
      <w:widowControl w:val="0"/>
      <w:snapToGrid w:val="0"/>
      <w:spacing w:before="283" w:line="560" w:lineRule="exact"/>
      <w:ind w:firstLine="510"/>
    </w:pPr>
    <w:rPr>
      <w:sz w:val="28"/>
    </w:rPr>
  </w:style>
  <w:style w:type="paragraph" w:styleId="6">
    <w:name w:val="Plain Text"/>
    <w:basedOn w:val="1"/>
    <w:link w:val="54"/>
    <w:qFormat/>
    <w:uiPriority w:val="99"/>
    <w:pPr>
      <w:widowControl w:val="0"/>
      <w:spacing w:line="240" w:lineRule="auto"/>
      <w:textAlignment w:val="auto"/>
    </w:pPr>
    <w:rPr>
      <w:rFonts w:ascii="宋体" w:hAnsi="Courier New"/>
      <w:color w:val="auto"/>
      <w:kern w:val="2"/>
    </w:rPr>
  </w:style>
  <w:style w:type="paragraph" w:styleId="7">
    <w:name w:val="Date"/>
    <w:basedOn w:val="1"/>
    <w:next w:val="1"/>
    <w:link w:val="27"/>
    <w:qFormat/>
    <w:uiPriority w:val="99"/>
    <w:pPr>
      <w:ind w:left="100" w:leftChars="2500"/>
    </w:pPr>
  </w:style>
  <w:style w:type="paragraph" w:styleId="8">
    <w:name w:val="Balloon Text"/>
    <w:basedOn w:val="1"/>
    <w:link w:val="28"/>
    <w:qFormat/>
    <w:uiPriority w:val="99"/>
    <w:pPr>
      <w:spacing w:line="240" w:lineRule="auto"/>
    </w:pPr>
    <w:rPr>
      <w:sz w:val="18"/>
      <w:szCs w:val="18"/>
    </w:rPr>
  </w:style>
  <w:style w:type="paragraph" w:styleId="9">
    <w:name w:val="footer"/>
    <w:basedOn w:val="1"/>
    <w:link w:val="29"/>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30"/>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Body Text 2"/>
    <w:basedOn w:val="1"/>
    <w:link w:val="31"/>
    <w:qFormat/>
    <w:uiPriority w:val="99"/>
    <w:pPr>
      <w:spacing w:after="120" w:line="480" w:lineRule="auto"/>
    </w:pPr>
  </w:style>
  <w:style w:type="paragraph" w:styleId="14">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5">
    <w:name w:val="annotation subject"/>
    <w:basedOn w:val="4"/>
    <w:next w:val="4"/>
    <w:link w:val="66"/>
    <w:unhideWhenUsed/>
    <w:qFormat/>
    <w:locked/>
    <w:uiPriority w:val="99"/>
    <w:rPr>
      <w:b/>
      <w:bCs/>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99"/>
    <w:rPr>
      <w:rFonts w:cs="Times New Roman"/>
      <w:b/>
    </w:rPr>
  </w:style>
  <w:style w:type="character" w:styleId="20">
    <w:name w:val="page number"/>
    <w:qFormat/>
    <w:uiPriority w:val="99"/>
    <w:rPr>
      <w:rFonts w:cs="Times New Roman"/>
    </w:rPr>
  </w:style>
  <w:style w:type="character" w:styleId="21">
    <w:name w:val="Hyperlink"/>
    <w:qFormat/>
    <w:uiPriority w:val="99"/>
    <w:rPr>
      <w:rFonts w:cs="Times New Roman"/>
      <w:color w:val="0368A8"/>
      <w:u w:val="none"/>
    </w:rPr>
  </w:style>
  <w:style w:type="character" w:styleId="22">
    <w:name w:val="annotation reference"/>
    <w:basedOn w:val="18"/>
    <w:unhideWhenUsed/>
    <w:qFormat/>
    <w:locked/>
    <w:uiPriority w:val="99"/>
    <w:rPr>
      <w:sz w:val="21"/>
      <w:szCs w:val="21"/>
    </w:rPr>
  </w:style>
  <w:style w:type="character" w:customStyle="1" w:styleId="23">
    <w:name w:val="标题 1 Char"/>
    <w:link w:val="2"/>
    <w:qFormat/>
    <w:locked/>
    <w:uiPriority w:val="99"/>
    <w:rPr>
      <w:rFonts w:cs="Times New Roman"/>
      <w:b/>
      <w:bCs/>
      <w:color w:val="000000"/>
      <w:kern w:val="44"/>
      <w:sz w:val="44"/>
      <w:szCs w:val="44"/>
      <w:u w:val="none" w:color="000000"/>
    </w:rPr>
  </w:style>
  <w:style w:type="character" w:customStyle="1" w:styleId="24">
    <w:name w:val="标题 3 Char"/>
    <w:link w:val="3"/>
    <w:semiHidden/>
    <w:qFormat/>
    <w:locked/>
    <w:uiPriority w:val="99"/>
    <w:rPr>
      <w:rFonts w:cs="Times New Roman"/>
      <w:b/>
      <w:bCs/>
      <w:color w:val="000000"/>
      <w:sz w:val="32"/>
      <w:szCs w:val="32"/>
      <w:u w:val="none" w:color="000000"/>
    </w:rPr>
  </w:style>
  <w:style w:type="character" w:customStyle="1" w:styleId="25">
    <w:name w:val="正文文本缩进 Char"/>
    <w:link w:val="5"/>
    <w:semiHidden/>
    <w:qFormat/>
    <w:locked/>
    <w:uiPriority w:val="99"/>
    <w:rPr>
      <w:rFonts w:cs="Times New Roman"/>
      <w:color w:val="000000"/>
      <w:kern w:val="0"/>
      <w:sz w:val="20"/>
      <w:szCs w:val="20"/>
      <w:u w:val="none" w:color="000000"/>
    </w:rPr>
  </w:style>
  <w:style w:type="character" w:customStyle="1" w:styleId="26">
    <w:name w:val="Plain Text Char"/>
    <w:qFormat/>
    <w:locked/>
    <w:uiPriority w:val="99"/>
    <w:rPr>
      <w:rFonts w:ascii="宋体" w:hAnsi="Courier New" w:eastAsia="宋体" w:cs="Times New Roman"/>
      <w:kern w:val="2"/>
      <w:sz w:val="21"/>
      <w:lang w:val="en-US" w:eastAsia="zh-CN"/>
    </w:rPr>
  </w:style>
  <w:style w:type="character" w:customStyle="1" w:styleId="27">
    <w:name w:val="日期 Char"/>
    <w:link w:val="7"/>
    <w:qFormat/>
    <w:locked/>
    <w:uiPriority w:val="99"/>
    <w:rPr>
      <w:rFonts w:cs="Times New Roman"/>
      <w:color w:val="000000"/>
      <w:sz w:val="21"/>
      <w:u w:val="none" w:color="000000"/>
    </w:rPr>
  </w:style>
  <w:style w:type="character" w:customStyle="1" w:styleId="28">
    <w:name w:val="批注框文本 Char"/>
    <w:link w:val="8"/>
    <w:qFormat/>
    <w:locked/>
    <w:uiPriority w:val="99"/>
    <w:rPr>
      <w:rFonts w:cs="Times New Roman"/>
      <w:color w:val="000000"/>
      <w:sz w:val="18"/>
      <w:szCs w:val="18"/>
      <w:u w:val="none" w:color="000000"/>
    </w:rPr>
  </w:style>
  <w:style w:type="character" w:customStyle="1" w:styleId="29">
    <w:name w:val="页脚 Char"/>
    <w:link w:val="9"/>
    <w:semiHidden/>
    <w:qFormat/>
    <w:locked/>
    <w:uiPriority w:val="99"/>
    <w:rPr>
      <w:rFonts w:cs="Times New Roman"/>
      <w:color w:val="000000"/>
      <w:kern w:val="0"/>
      <w:sz w:val="18"/>
      <w:szCs w:val="18"/>
      <w:u w:val="none" w:color="000000"/>
    </w:rPr>
  </w:style>
  <w:style w:type="character" w:customStyle="1" w:styleId="30">
    <w:name w:val="页眉 Char"/>
    <w:link w:val="10"/>
    <w:semiHidden/>
    <w:qFormat/>
    <w:locked/>
    <w:uiPriority w:val="99"/>
    <w:rPr>
      <w:rFonts w:cs="Times New Roman"/>
      <w:color w:val="000000"/>
      <w:kern w:val="0"/>
      <w:sz w:val="18"/>
      <w:szCs w:val="18"/>
      <w:u w:val="none" w:color="000000"/>
    </w:rPr>
  </w:style>
  <w:style w:type="character" w:customStyle="1" w:styleId="31">
    <w:name w:val="正文文本 2 Char"/>
    <w:link w:val="13"/>
    <w:semiHidden/>
    <w:qFormat/>
    <w:locked/>
    <w:uiPriority w:val="99"/>
    <w:rPr>
      <w:rFonts w:cs="Times New Roman"/>
      <w:color w:val="000000"/>
      <w:kern w:val="0"/>
      <w:sz w:val="20"/>
      <w:szCs w:val="20"/>
      <w:u w:val="none" w:color="000000"/>
    </w:rPr>
  </w:style>
  <w:style w:type="paragraph" w:customStyle="1" w:styleId="32">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3">
    <w:name w:val="章标题"/>
    <w:basedOn w:val="1"/>
    <w:next w:val="34"/>
    <w:qFormat/>
    <w:uiPriority w:val="99"/>
    <w:pPr>
      <w:spacing w:before="158" w:after="153" w:line="323" w:lineRule="atLeast"/>
      <w:jc w:val="center"/>
    </w:pPr>
    <w:rPr>
      <w:rFonts w:ascii="Arial" w:eastAsia="黑体"/>
      <w:sz w:val="31"/>
    </w:rPr>
  </w:style>
  <w:style w:type="paragraph" w:customStyle="1" w:styleId="34">
    <w:name w:val="节标题"/>
    <w:basedOn w:val="1"/>
    <w:next w:val="35"/>
    <w:qFormat/>
    <w:uiPriority w:val="99"/>
    <w:pPr>
      <w:spacing w:line="289" w:lineRule="atLeast"/>
      <w:jc w:val="center"/>
    </w:pPr>
    <w:rPr>
      <w:sz w:val="28"/>
    </w:rPr>
  </w:style>
  <w:style w:type="paragraph" w:customStyle="1" w:styleId="35">
    <w:name w:val="小节标题"/>
    <w:basedOn w:val="1"/>
    <w:next w:val="1"/>
    <w:qFormat/>
    <w:uiPriority w:val="99"/>
    <w:pPr>
      <w:spacing w:before="175" w:after="102" w:line="351" w:lineRule="atLeast"/>
    </w:pPr>
    <w:rPr>
      <w:rFonts w:eastAsia="黑体"/>
    </w:rPr>
  </w:style>
  <w:style w:type="paragraph" w:customStyle="1" w:styleId="36">
    <w:name w:val="目录2"/>
    <w:basedOn w:val="1"/>
    <w:next w:val="1"/>
    <w:qFormat/>
    <w:uiPriority w:val="99"/>
    <w:pPr>
      <w:tabs>
        <w:tab w:val="left" w:leader="dot" w:pos="8503"/>
      </w:tabs>
      <w:spacing w:line="317" w:lineRule="atLeast"/>
      <w:ind w:firstLine="209"/>
    </w:pPr>
  </w:style>
  <w:style w:type="paragraph" w:customStyle="1" w:styleId="37">
    <w:name w:val="目录4"/>
    <w:basedOn w:val="1"/>
    <w:next w:val="1"/>
    <w:qFormat/>
    <w:uiPriority w:val="99"/>
    <w:pPr>
      <w:tabs>
        <w:tab w:val="left" w:leader="dot" w:pos="8503"/>
      </w:tabs>
      <w:spacing w:line="317" w:lineRule="atLeast"/>
      <w:ind w:firstLine="629"/>
    </w:pPr>
  </w:style>
  <w:style w:type="paragraph" w:customStyle="1" w:styleId="38">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39">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0">
    <w:name w:val="目录3"/>
    <w:basedOn w:val="1"/>
    <w:next w:val="1"/>
    <w:qFormat/>
    <w:uiPriority w:val="99"/>
    <w:pPr>
      <w:tabs>
        <w:tab w:val="left" w:leader="dot" w:pos="8503"/>
      </w:tabs>
      <w:spacing w:line="317" w:lineRule="atLeast"/>
      <w:ind w:firstLine="419"/>
    </w:pPr>
  </w:style>
  <w:style w:type="paragraph" w:customStyle="1" w:styleId="41">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2">
    <w:name w:val="文章总标题"/>
    <w:basedOn w:val="1"/>
    <w:next w:val="43"/>
    <w:qFormat/>
    <w:uiPriority w:val="99"/>
    <w:pPr>
      <w:spacing w:before="566" w:after="544" w:line="566" w:lineRule="atLeast"/>
      <w:jc w:val="center"/>
    </w:pPr>
    <w:rPr>
      <w:rFonts w:ascii="Arial" w:eastAsia="黑体"/>
      <w:sz w:val="54"/>
    </w:rPr>
  </w:style>
  <w:style w:type="paragraph" w:customStyle="1" w:styleId="43">
    <w:name w:val="文章附标题"/>
    <w:basedOn w:val="1"/>
    <w:next w:val="33"/>
    <w:qFormat/>
    <w:uiPriority w:val="99"/>
    <w:pPr>
      <w:spacing w:before="187" w:after="175" w:line="374" w:lineRule="atLeast"/>
      <w:jc w:val="center"/>
    </w:pPr>
    <w:rPr>
      <w:sz w:val="36"/>
    </w:rPr>
  </w:style>
  <w:style w:type="paragraph" w:customStyle="1" w:styleId="44">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5">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6">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47">
    <w:name w:val="WPS Plain"/>
    <w:qFormat/>
    <w:uiPriority w:val="99"/>
    <w:rPr>
      <w:rFonts w:ascii="Times New Roman" w:hAnsi="Times New Roman" w:eastAsia="宋体" w:cs="Times New Roman"/>
      <w:lang w:val="en-US" w:eastAsia="zh-CN" w:bidi="ar-SA"/>
    </w:rPr>
  </w:style>
  <w:style w:type="paragraph" w:customStyle="1" w:styleId="48">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9">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1">
    <w:name w:val="链接"/>
    <w:qFormat/>
    <w:uiPriority w:val="99"/>
    <w:rPr>
      <w:rFonts w:ascii="Times New Roman" w:eastAsia="宋体"/>
      <w:color w:val="0000FF"/>
      <w:sz w:val="21"/>
      <w:u w:val="single" w:color="0000FF"/>
      <w:lang w:val="en-US" w:eastAsia="zh-CN"/>
    </w:rPr>
  </w:style>
  <w:style w:type="character" w:customStyle="1" w:styleId="52">
    <w:name w:val="超级链接"/>
    <w:qFormat/>
    <w:uiPriority w:val="99"/>
    <w:rPr>
      <w:rFonts w:ascii="Times New Roman" w:eastAsia="宋体"/>
      <w:color w:val="0000FF"/>
      <w:sz w:val="21"/>
      <w:u w:val="single" w:color="0000FF"/>
      <w:lang w:val="en-US" w:eastAsia="zh-CN"/>
    </w:rPr>
  </w:style>
  <w:style w:type="character" w:customStyle="1" w:styleId="53">
    <w:name w:val="param_td12"/>
    <w:qFormat/>
    <w:uiPriority w:val="99"/>
    <w:rPr>
      <w:rFonts w:cs="Times New Roman"/>
    </w:rPr>
  </w:style>
  <w:style w:type="character" w:customStyle="1" w:styleId="54">
    <w:name w:val="纯文本 Char"/>
    <w:link w:val="6"/>
    <w:semiHidden/>
    <w:qFormat/>
    <w:locked/>
    <w:uiPriority w:val="99"/>
    <w:rPr>
      <w:rFonts w:ascii="宋体" w:hAnsi="Courier New" w:cs="Courier New"/>
      <w:color w:val="000000"/>
      <w:kern w:val="0"/>
      <w:sz w:val="21"/>
      <w:szCs w:val="21"/>
      <w:u w:val="none" w:color="000000"/>
    </w:rPr>
  </w:style>
  <w:style w:type="character" w:customStyle="1" w:styleId="55">
    <w:name w:val="纯文本 Char Char"/>
    <w:qFormat/>
    <w:uiPriority w:val="99"/>
    <w:rPr>
      <w:rFonts w:ascii="宋体" w:hAnsi="Courier New" w:eastAsia="宋体"/>
      <w:kern w:val="2"/>
      <w:sz w:val="21"/>
      <w:lang w:val="en-US" w:eastAsia="zh-CN"/>
    </w:rPr>
  </w:style>
  <w:style w:type="character" w:customStyle="1" w:styleId="56">
    <w:name w:val="Char Char4"/>
    <w:qFormat/>
    <w:uiPriority w:val="99"/>
    <w:rPr>
      <w:rFonts w:ascii="宋体" w:eastAsia="宋体"/>
      <w:kern w:val="2"/>
      <w:sz w:val="28"/>
    </w:rPr>
  </w:style>
  <w:style w:type="character" w:customStyle="1" w:styleId="57">
    <w:name w:val="纯文本 Char1"/>
    <w:qFormat/>
    <w:locked/>
    <w:uiPriority w:val="99"/>
    <w:rPr>
      <w:rFonts w:ascii="宋体" w:hAnsi="Courier New" w:cs="Times New Roman"/>
      <w:color w:val="000000"/>
      <w:kern w:val="0"/>
      <w:sz w:val="21"/>
      <w:u w:val="none" w:color="000000"/>
    </w:rPr>
  </w:style>
  <w:style w:type="character" w:customStyle="1" w:styleId="58">
    <w:name w:val="样式 首行缩进:  0 字符 Char"/>
    <w:link w:val="59"/>
    <w:qFormat/>
    <w:locked/>
    <w:uiPriority w:val="0"/>
    <w:rPr>
      <w:sz w:val="24"/>
    </w:rPr>
  </w:style>
  <w:style w:type="paragraph" w:customStyle="1" w:styleId="59">
    <w:name w:val="样式 首行缩进:  0 字符"/>
    <w:basedOn w:val="1"/>
    <w:link w:val="58"/>
    <w:qFormat/>
    <w:uiPriority w:val="0"/>
    <w:pPr>
      <w:widowControl w:val="0"/>
      <w:spacing w:line="360" w:lineRule="auto"/>
      <w:ind w:firstLine="200" w:firstLineChars="200"/>
      <w:textAlignment w:val="auto"/>
    </w:pPr>
    <w:rPr>
      <w:color w:val="auto"/>
      <w:sz w:val="24"/>
    </w:rPr>
  </w:style>
  <w:style w:type="paragraph" w:customStyle="1" w:styleId="60">
    <w:name w:val="正文文本 (2)"/>
    <w:basedOn w:val="1"/>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1">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62">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3">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character" w:customStyle="1" w:styleId="64">
    <w:name w:val="批注文字 Char"/>
    <w:link w:val="4"/>
    <w:qFormat/>
    <w:uiPriority w:val="99"/>
    <w:rPr>
      <w:color w:val="000000"/>
      <w:sz w:val="21"/>
      <w:u w:color="000000"/>
    </w:rPr>
  </w:style>
  <w:style w:type="character" w:customStyle="1" w:styleId="65">
    <w:name w:val="15"/>
    <w:basedOn w:val="18"/>
    <w:qFormat/>
    <w:uiPriority w:val="0"/>
    <w:rPr>
      <w:rFonts w:hint="default" w:ascii="Times New Roman" w:hAnsi="Times New Roman" w:cs="Times New Roman"/>
      <w:color w:val="0000FF"/>
      <w:u w:val="single"/>
    </w:rPr>
  </w:style>
  <w:style w:type="character" w:customStyle="1" w:styleId="66">
    <w:name w:val="批注主题 Char"/>
    <w:basedOn w:val="64"/>
    <w:link w:val="15"/>
    <w:semiHidden/>
    <w:qFormat/>
    <w:uiPriority w:val="99"/>
    <w:rPr>
      <w:b/>
      <w:bCs/>
      <w:color w:val="000000"/>
      <w:sz w:val="21"/>
      <w:u w:color="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49ECAE-0E35-4E14-8E72-CE1175A2EB1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6123</Words>
  <Characters>6703</Characters>
  <Lines>352</Lines>
  <Paragraphs>99</Paragraphs>
  <TotalTime>0</TotalTime>
  <ScaleCrop>false</ScaleCrop>
  <LinksUpToDate>false</LinksUpToDate>
  <CharactersWithSpaces>6904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2015-09-10T13:42:00Z</dcterms:created>
  <dc:creator>ZM</dc:creator>
  <cp:lastModifiedBy>……</cp:lastModifiedBy>
  <cp:lastPrinted>2018-06-25T07:58:00Z</cp:lastPrinted>
  <dcterms:modified xsi:type="dcterms:W3CDTF">2026-04-17T08:06:01Z</dcterms:modified>
  <cp:revision>455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eyJoZGlkIjoiNGQwNWI4MzdiODIzMDY4MmE4ZDBlNDNmYzA2Y2FmOWEiLCJ1c2VySWQiOiI2NTAxMTAwMzEifQ==</vt:lpwstr>
  </property>
  <property fmtid="{D5CDD505-2E9C-101B-9397-08002B2CF9AE}" pid="4" name="ICV">
    <vt:lpwstr>CD500883D1B748DBBBA3107733296801_12</vt:lpwstr>
  </property>
</Properties>
</file>